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default" w:ascii="宋体" w:hAnsi="宋体" w:cs="宋体"/>
          <w:color w:val="0000FF"/>
          <w:szCs w:val="21"/>
          <w:highlight w:val="none"/>
          <w:lang w:val="en-US" w:eastAsia="zh-CN"/>
        </w:rPr>
      </w:pPr>
      <w:r>
        <w:rPr>
          <w:rFonts w:hint="eastAsia" w:ascii="宋体" w:hAnsi="宋体" w:cs="宋体"/>
          <w:color w:val="000000"/>
          <w:highlight w:val="none"/>
        </w:rPr>
        <w:t>货物需求及技术要求</w:t>
      </w:r>
    </w:p>
    <w:p>
      <w:pPr>
        <w:widowControl/>
        <w:spacing w:line="500" w:lineRule="exact"/>
        <w:ind w:firstLine="430"/>
        <w:jc w:val="left"/>
        <w:rPr>
          <w:rFonts w:hint="eastAsia" w:ascii="宋体" w:hAnsi="宋体" w:cs="宋体"/>
          <w:b/>
          <w:bCs/>
          <w:color w:val="000000"/>
          <w:szCs w:val="21"/>
        </w:rPr>
      </w:pPr>
      <w:bookmarkStart w:id="0" w:name="_Toc54938481"/>
      <w:r>
        <w:rPr>
          <w:rFonts w:hint="eastAsia" w:ascii="宋体" w:hAnsi="宋体" w:cs="宋体"/>
          <w:b/>
          <w:bCs/>
          <w:color w:val="000000"/>
          <w:szCs w:val="21"/>
        </w:rPr>
        <w:t>为鼓励不同品牌的充分竞争，如某设备的某技术参数或要求属于个别品牌专有，则该技术参数及要求不具有限制性，谈判响应人可对该参数或要求进行适当调整，但这种调整整体上要优于或相当于竞争性谈判文件的相关要求，并说明调整理由，且该调整须经谈判小组审核认可。</w:t>
      </w:r>
    </w:p>
    <w:p>
      <w:pPr>
        <w:widowControl/>
        <w:spacing w:line="360" w:lineRule="auto"/>
        <w:ind w:firstLine="405"/>
        <w:jc w:val="left"/>
        <w:rPr>
          <w:rFonts w:ascii="宋体" w:hAnsi="宋体"/>
          <w:b/>
          <w:bCs/>
          <w:szCs w:val="21"/>
          <w:highlight w:val="none"/>
        </w:rPr>
      </w:pPr>
      <w:r>
        <w:rPr>
          <w:rFonts w:hint="eastAsia" w:ascii="宋体" w:hAnsi="宋体" w:eastAsia="宋体" w:cs="宋体"/>
          <w:b/>
          <w:bCs/>
          <w:szCs w:val="21"/>
          <w:highlight w:val="none"/>
        </w:rPr>
        <w:t>1</w:t>
      </w:r>
      <w:r>
        <w:rPr>
          <w:rFonts w:hint="eastAsia" w:ascii="宋体" w:hAnsi="宋体"/>
          <w:b/>
          <w:bCs/>
          <w:szCs w:val="21"/>
          <w:highlight w:val="none"/>
        </w:rPr>
        <w:t>、在采购活动开始前没有获准采购进口产品而开展采购活动的，视同为拒绝采购进口产品。</w:t>
      </w:r>
    </w:p>
    <w:p>
      <w:pPr>
        <w:widowControl/>
        <w:spacing w:line="360" w:lineRule="auto"/>
        <w:ind w:firstLine="405"/>
        <w:jc w:val="left"/>
        <w:rPr>
          <w:rFonts w:hint="eastAsia" w:ascii="宋体" w:hAnsi="宋体"/>
          <w:b/>
          <w:bCs/>
          <w:szCs w:val="21"/>
          <w:highlight w:val="none"/>
        </w:rPr>
      </w:pPr>
      <w:r>
        <w:rPr>
          <w:rFonts w:hint="eastAsia" w:ascii="宋体" w:hAnsi="宋体" w:eastAsia="宋体" w:cs="宋体"/>
          <w:b/>
          <w:bCs/>
          <w:szCs w:val="21"/>
          <w:highlight w:val="none"/>
        </w:rPr>
        <w:t>2</w:t>
      </w:r>
      <w:r>
        <w:rPr>
          <w:rFonts w:hint="eastAsia" w:ascii="宋体" w:hAnsi="宋体"/>
          <w:b/>
          <w:bCs/>
          <w:szCs w:val="21"/>
          <w:highlight w:val="none"/>
        </w:rPr>
        <w:t>、根据“关于印发《政府采购进口产品管理办法》的通知”及“关于政府采购进口产品管理有关问题的通知”的相关规定：下列采购需求中标注进口产品的货物均已履行相关论证手续，经核准采购进口产品，但不限制满足</w:t>
      </w:r>
      <w:r>
        <w:rPr>
          <w:rFonts w:hint="eastAsia" w:ascii="宋体" w:hAnsi="宋体"/>
          <w:b/>
          <w:bCs/>
          <w:szCs w:val="21"/>
          <w:highlight w:val="none"/>
          <w:lang w:val="en-US" w:eastAsia="zh-CN"/>
        </w:rPr>
        <w:t>谈判</w:t>
      </w:r>
      <w:r>
        <w:rPr>
          <w:rFonts w:hint="eastAsia" w:ascii="宋体" w:hAnsi="宋体"/>
          <w:b/>
          <w:bCs/>
          <w:szCs w:val="21"/>
          <w:highlight w:val="none"/>
          <w:lang w:eastAsia="zh-CN"/>
        </w:rPr>
        <w:t>文件</w:t>
      </w:r>
      <w:r>
        <w:rPr>
          <w:rFonts w:hint="eastAsia" w:ascii="宋体" w:hAnsi="宋体"/>
          <w:b/>
          <w:bCs/>
          <w:szCs w:val="21"/>
          <w:highlight w:val="none"/>
        </w:rPr>
        <w:t>要求的国内产品参与竞争。未标注进口产品的货物均为拒绝采购进口产品。</w:t>
      </w:r>
    </w:p>
    <w:p>
      <w:pPr>
        <w:widowControl/>
        <w:spacing w:line="360" w:lineRule="auto"/>
        <w:ind w:firstLine="405" w:firstLineChars="0"/>
        <w:jc w:val="left"/>
        <w:rPr>
          <w:rFonts w:hint="eastAsia"/>
        </w:rPr>
      </w:pPr>
      <w:r>
        <w:rPr>
          <w:rFonts w:hint="eastAsia" w:ascii="宋体" w:hAnsi="宋体" w:eastAsia="宋体" w:cs="宋体"/>
          <w:b/>
          <w:bCs/>
          <w:szCs w:val="21"/>
          <w:highlight w:val="none"/>
        </w:rPr>
        <w:t>3</w:t>
      </w:r>
      <w:r>
        <w:rPr>
          <w:rFonts w:hint="eastAsia" w:ascii="宋体" w:hAnsi="宋体"/>
          <w:b/>
          <w:bCs/>
          <w:szCs w:val="21"/>
          <w:highlight w:val="none"/>
        </w:rPr>
        <w:t>、</w:t>
      </w:r>
      <w:r>
        <w:rPr>
          <w:rFonts w:hint="eastAsia" w:ascii="宋体" w:hAnsi="宋体"/>
          <w:b/>
          <w:bCs/>
          <w:szCs w:val="21"/>
          <w:highlight w:val="none"/>
          <w:lang w:eastAsia="zh-CN"/>
        </w:rPr>
        <w:t>成交人</w:t>
      </w:r>
      <w:r>
        <w:rPr>
          <w:rFonts w:hint="eastAsia" w:ascii="宋体" w:hAnsi="宋体"/>
          <w:b/>
          <w:bCs/>
          <w:szCs w:val="21"/>
          <w:highlight w:val="none"/>
        </w:rPr>
        <w:t>提供的货物为进口产品的，供货时须向采购人提供所投进口产品的海关报关单等证明材料。</w:t>
      </w:r>
    </w:p>
    <w:p>
      <w:pPr>
        <w:pStyle w:val="4"/>
        <w:numPr>
          <w:ilvl w:val="0"/>
          <w:numId w:val="1"/>
        </w:numPr>
        <w:ind w:firstLine="472" w:firstLineChars="196"/>
        <w:rPr>
          <w:rFonts w:hint="eastAsia" w:hAnsi="宋体" w:cs="宋体"/>
          <w:color w:val="000000"/>
          <w:highlight w:val="none"/>
        </w:rPr>
      </w:pPr>
      <w:r>
        <w:rPr>
          <w:rFonts w:hint="eastAsia" w:hAnsi="宋体" w:cs="宋体"/>
          <w:bCs/>
          <w:color w:val="000000"/>
          <w:szCs w:val="24"/>
          <w:highlight w:val="none"/>
        </w:rPr>
        <w:t>货物需求一览表</w:t>
      </w:r>
      <w:bookmarkEnd w:id="0"/>
      <w:bookmarkStart w:id="1" w:name="_Toc4579"/>
      <w:bookmarkStart w:id="2" w:name="_Toc54938482"/>
    </w:p>
    <w:tbl>
      <w:tblPr>
        <w:tblStyle w:val="7"/>
        <w:tblpPr w:leftFromText="180" w:rightFromText="180" w:vertAnchor="text" w:horzAnchor="page" w:tblpX="1588" w:tblpY="452"/>
        <w:tblOverlap w:val="never"/>
        <w:tblW w:w="9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96"/>
        <w:gridCol w:w="1084"/>
        <w:gridCol w:w="5000"/>
        <w:gridCol w:w="735"/>
        <w:gridCol w:w="690"/>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3" w:hRule="atLeast"/>
        </w:trPr>
        <w:tc>
          <w:tcPr>
            <w:tcW w:w="496" w:type="dxa"/>
            <w:vAlign w:val="center"/>
          </w:tcPr>
          <w:p>
            <w:pPr>
              <w:snapToGri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序号</w:t>
            </w:r>
          </w:p>
        </w:tc>
        <w:tc>
          <w:tcPr>
            <w:tcW w:w="1084" w:type="dxa"/>
            <w:vAlign w:val="center"/>
          </w:tcPr>
          <w:p>
            <w:pPr>
              <w:snapToGri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设备名称</w:t>
            </w:r>
          </w:p>
        </w:tc>
        <w:tc>
          <w:tcPr>
            <w:tcW w:w="5000" w:type="dxa"/>
            <w:vAlign w:val="center"/>
          </w:tcPr>
          <w:p>
            <w:pPr>
              <w:snapToGri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谈判</w:t>
            </w:r>
            <w:r>
              <w:rPr>
                <w:rFonts w:hint="eastAsia" w:ascii="宋体" w:hAnsi="宋体" w:eastAsia="宋体" w:cs="宋体"/>
                <w:b/>
                <w:bCs/>
                <w:sz w:val="21"/>
                <w:szCs w:val="21"/>
                <w:lang w:eastAsia="zh-CN"/>
              </w:rPr>
              <w:t>技术参数</w:t>
            </w:r>
          </w:p>
        </w:tc>
        <w:tc>
          <w:tcPr>
            <w:tcW w:w="735" w:type="dxa"/>
            <w:vAlign w:val="center"/>
          </w:tcPr>
          <w:p>
            <w:pPr>
              <w:snapToGrid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单位</w:t>
            </w:r>
          </w:p>
        </w:tc>
        <w:tc>
          <w:tcPr>
            <w:tcW w:w="690" w:type="dxa"/>
            <w:vAlign w:val="center"/>
          </w:tcPr>
          <w:p>
            <w:pPr>
              <w:snapToGrid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1222" w:type="dxa"/>
            <w:vAlign w:val="center"/>
          </w:tcPr>
          <w:p>
            <w:pPr>
              <w:snapToGrid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主机（含测试系统软件，云平台）</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一、数据的评分：根据新标准的权重比，自动计算出各项测试数据的分数，以及总的得分数，可以更直观的看出自己各项的成绩处于哪个层次。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二、运动判断：根据国家标准的评分办法，自动计算出各项测试数据的分数处于等级，四个等级分为：优秀、良好、及格、不及格。</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三、数据的统计与分析：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根据测试数据，可针对学校、年级、班级、个人进行统计，生成四个等级成绩的百分比，可以看圆饼图一目了然，还可以进行学校与学校，年级与年级，班级与班级，个人与个人之间进行对比。从而可以知道自己学校、各年级、各班级的整体体质状况和发展趋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四、数据上报：给软件接口，数据可直接上报国家学生体质健康网上的“数据上报平台”，并且可生成EXCEL表格完成上报。数据格式完全符合国家学生体质健康网上数据格式。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五、云端：把数据放云端，管理系统平台后台由云服务器支撑，所有数据全部上云端，可以储存历史数据，可以随时调出供各年级共享。同时云端数据备份学校数据中心，其管理系统平台后台由学校服务器承担。</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六、学生成长档案：</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通过学生的历史数据，对该学生的历年成绩的变化趋势，自动生成一份成长档案，可以查看学生历年的数据，还根据历年数据生成一个成长曲线图，直观的知道自己历年来体质状况的发展趋势及变化。</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七、内置功能模块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1.内置各种网络模块，根据学校实际情况组成局域网络，测试数据实时传输至云端平台，及时保存，永不丢失，不需备份，且后台数据可以一键导出，自动生成表格文档，方便快捷；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2.支持国家体质测试标准的各种项目测试功能，既可以平时体育训练使用，又满足中考测试使用；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3.完整的数据平台链接，支持省级、市级、县级、校级、班级、家长平台搭建，数据统计、分析，各级部门可根据平台权限时时查看所管理区域的体测成绩及数据分析。对接学校数据中心永久免费提供数据接口。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4.安全性能可靠：户外安装，随时使用。外观设计均采用无棱角弧度防撞设计，设备机身内外喷塑处理，运用导流槽设计，可做到防水、防尘、防爆，设备用电均为36V以下安全供电。</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5.根据各个学校实际情况，测试项目实现模块化，可按照实际需求灵活配置。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6.要求谈判响应人免费永久开放端口并与学校数据中心对接，可提取学生相关数据。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7.体质健康测试卡使用学生身份证代替。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8.主机及其测试终端设备全部符合国家相关技术标准。</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包含云平台,一台固定控制机台，一台移动控制机台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控制终端</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rPr>
            </w:pPr>
            <w:r>
              <w:rPr>
                <w:rFonts w:hint="eastAsia" w:ascii="宋体" w:hAnsi="宋体" w:eastAsia="宋体" w:cs="宋体"/>
                <w:b w:val="0"/>
                <w:bCs w:val="0"/>
                <w:i w:val="0"/>
                <w:iCs w:val="0"/>
                <w:color w:val="000000"/>
                <w:kern w:val="0"/>
                <w:sz w:val="21"/>
                <w:szCs w:val="21"/>
                <w:u w:val="none"/>
                <w:lang w:val="en-US" w:eastAsia="zh-CN" w:bidi="ar"/>
              </w:rPr>
              <w:t>1.软件基于Android系统开发，兼容windows10以上和IOS系统，采用物联技术，系统自动收集，统计，分析数据，实现真正智能。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2.可以测试所有项目，户外防水。主机可同时控制和操作多个终端主机，测试项目可以根据实际测试需求进行调整，汇总各项测试功能的数据。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3.采用电脑工控机，高频多核的CPU性能强大，远超传统的单片机；</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身高体重测试仪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1.量程：身高90~210cm;误差≤±0.1cm;分度值：0.1cm，体重5~150kg;误差≤±0.1kg; 分度值：0.1kg；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4.同时测量人体身高体重，反映被测者身体匀称度和发育形态指数（BMI）；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5.身高测试采用高精度超声波传感器测量身高，非接触式测量，安全准确，体重使用一体式体重传感器，测试精度高，耐疲劳、寿命长；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1.主机采用17寸高清触摸屏+安卓系统配置，分辨率不低于1200×1920，屏幕亮度不低于1000cd/2，图形化的操作界面，系统稳定，支持多点触控，交互性强。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3.可无线外接多台设备同步测试，支持传统的1托6、1托12个设备等方式同时进行测试，极大提高工作效率，主机采用中文显示界面，采用语音合成技术，具备语音提示功能。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5.符合《普通高等学校体育场地基本要求及体育器材配备目录》和《国家学生体质健康标准》等相关测试和建设要求；</w:t>
            </w:r>
          </w:p>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6.户外安装，随时使用。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肺活量测试仪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1.量程：0mL～9999mL;误差≤±0.3%;测量分度值：1mL；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4.自动测定人体呼吸的最大通气能力，其数值反映肺的容积和肺的扩展能力。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5.使用高精密传感器，精度高，具有温度补偿功能，吹管优化设计与处理，不易产生积水，防补气（防作弊）功能，补气时自动锁定数据；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6.吹管可自由冲洗，有效避免有害病菌交叉感染，保护受试者身体健康；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仰卧起坐测试仪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1.量程：0～9999次;测量分度值：1次；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4.通过对被试者在规定时间内完成仰卧起坐的个数，可反映人体的腹部肌群力量；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5.红外探头自动感应，自动计数；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4</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6</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坐位体前屈测试</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1.量程：-20.0～38.0cm;误差：±0.1cm;测量分度值：0.1cm；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4.自动测量坐位体前屈的数值，从而反映躯干、腰、髋等部位关节、肌肉和韧带的伸展性和柔韧性；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5.采用先进的传感器，具有精度高，抗光性强的独特特点，不易受外在坏环境影响；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6.坐位体前屈测试仪器采用一体化设计，提高测试精度，防止学生测试过程中双膝弯曲作弊。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1.主机采用17寸高清触摸屏+安卓系统配置，分辨率不低于1200×1920，屏幕亮度不低于1000cd/2，图形化的操作界面，系统稳定，支持多点触控，交互性强。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7</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立定跳远测试仪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1.量程：60～300cm;误差：±1cm;测量分度值：1cm；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4.用红外线非接触自动测量立定跳远的距离，反映人体下肢爆发力水平。采用红外线非接触传感器测量原理，测试数据准确，经久耐用，可扩展全量程和犯规监测功能。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8</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50米跑测试仪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(4人测）</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1.量程：0～999.9s;误差：±0.1s;测量分度值：0.1s；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4.自动测量50米短跑的时间,测试受试者速度，反映速度、灵敏素质及神经系统灵活性的发展水平，标配4人测试，可以扩展到8人测试；</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3.可无线外接多台设备同步测试，支持传统的1托6个设备等方式同时进行测试，极大提高工作效率，主机采用中文显示界面，采用语音合成技术，具备语音提示功能。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9</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中长跑测试仪(40人测)</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1.量程：0～6000.0s;误差：±0.1s;测量分度值：0.1s；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4.采用超高频RFID无线读取技术，测试者每人戴一个手环，可满足多人同时测试，通过设置圈数计时测试，方便安全；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5.自动测量中长跑的时间,测试受试者速度，反映速度、灵敏素质及神经系统灵活性及耐力的发展水平</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8" w:hRule="atLeast"/>
        </w:trPr>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10</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引体向上测试仪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1.量程：0～9999次;测量分度值：1次；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4.测试受试者的上肢力量和身体平衡能力；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5.红外探头自动感应，自动计数；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11</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外部电源系统</w:t>
            </w:r>
          </w:p>
        </w:tc>
        <w:tc>
          <w:tcPr>
            <w:tcW w:w="5000" w:type="dxa"/>
            <w:vAlign w:val="center"/>
          </w:tcPr>
          <w:p>
            <w:pPr>
              <w:keepNext w:val="0"/>
              <w:keepLines w:val="0"/>
              <w:widowControl/>
              <w:suppressLineNumbers w:val="0"/>
              <w:spacing w:line="360" w:lineRule="auto"/>
              <w:jc w:val="left"/>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2*2.5平方户外电缆180米，穿线管180米及接头，胶水等，施工布控等</w:t>
            </w:r>
          </w:p>
        </w:tc>
        <w:tc>
          <w:tcPr>
            <w:tcW w:w="735" w:type="dxa"/>
            <w:vAlign w:val="center"/>
          </w:tcPr>
          <w:p>
            <w:pPr>
              <w:spacing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w:t>
            </w:r>
          </w:p>
        </w:tc>
        <w:tc>
          <w:tcPr>
            <w:tcW w:w="690" w:type="dxa"/>
            <w:vAlign w:val="center"/>
          </w:tcPr>
          <w:p>
            <w:pPr>
              <w:spacing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9227" w:type="dxa"/>
            <w:gridSpan w:val="6"/>
            <w:vAlign w:val="center"/>
          </w:tcPr>
          <w:p>
            <w:pPr>
              <w:spacing w:line="360" w:lineRule="auto"/>
              <w:jc w:val="left"/>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说明：谈判响应人的谈判响应文件必须标明所投货物的品牌与参数，保证原厂正品供货，提供相关资料等。</w:t>
            </w:r>
          </w:p>
          <w:p>
            <w:pPr>
              <w:snapToGrid w:val="0"/>
              <w:spacing w:line="360" w:lineRule="auto"/>
              <w:jc w:val="both"/>
              <w:rPr>
                <w:rFonts w:hint="eastAsia" w:ascii="宋体" w:hAnsi="宋体" w:eastAsia="宋体" w:cs="宋体"/>
                <w:b w:val="0"/>
                <w:bCs w:val="0"/>
                <w:sz w:val="21"/>
                <w:szCs w:val="21"/>
                <w:lang w:eastAsia="zh-CN"/>
              </w:rPr>
            </w:pPr>
            <w:r>
              <w:rPr>
                <w:rFonts w:hint="eastAsia" w:ascii="宋体" w:hAnsi="宋体" w:eastAsia="宋体" w:cs="宋体"/>
                <w:b/>
                <w:bCs/>
                <w:color w:val="000000"/>
                <w:sz w:val="21"/>
                <w:szCs w:val="21"/>
              </w:rPr>
              <w:t>本次采购最高限价：人民币</w:t>
            </w:r>
            <w:r>
              <w:rPr>
                <w:rFonts w:hint="eastAsia" w:ascii="宋体" w:hAnsi="宋体" w:eastAsia="宋体" w:cs="宋体"/>
                <w:b/>
                <w:bCs/>
                <w:color w:val="000000"/>
                <w:sz w:val="21"/>
                <w:szCs w:val="21"/>
                <w:lang w:val="en-US" w:eastAsia="zh-CN"/>
              </w:rPr>
              <w:t>贰拾玖万贰仟肆佰贰拾</w:t>
            </w:r>
            <w:r>
              <w:rPr>
                <w:rFonts w:hint="eastAsia" w:ascii="宋体" w:hAnsi="宋体" w:eastAsia="宋体" w:cs="宋体"/>
                <w:b/>
                <w:bCs/>
                <w:color w:val="000000"/>
                <w:sz w:val="21"/>
                <w:szCs w:val="21"/>
              </w:rPr>
              <w:t>元整（￥</w:t>
            </w:r>
            <w:r>
              <w:rPr>
                <w:rFonts w:hint="eastAsia" w:ascii="宋体" w:hAnsi="宋体" w:eastAsia="宋体" w:cs="宋体"/>
                <w:b/>
                <w:bCs/>
                <w:color w:val="000000"/>
                <w:sz w:val="21"/>
                <w:szCs w:val="21"/>
                <w:lang w:val="en-US" w:eastAsia="zh-CN"/>
              </w:rPr>
              <w:t>292420.00</w:t>
            </w:r>
            <w:r>
              <w:rPr>
                <w:rFonts w:hint="eastAsia" w:ascii="宋体" w:hAnsi="宋体" w:eastAsia="宋体" w:cs="宋体"/>
                <w:b/>
                <w:bCs/>
                <w:color w:val="000000"/>
                <w:sz w:val="21"/>
                <w:szCs w:val="21"/>
              </w:rPr>
              <w:t>元）</w:t>
            </w:r>
          </w:p>
        </w:tc>
      </w:tr>
    </w:tbl>
    <w:p>
      <w:pPr>
        <w:pStyle w:val="5"/>
        <w:rPr>
          <w:rFonts w:hint="eastAsia"/>
        </w:rPr>
      </w:pPr>
    </w:p>
    <w:p>
      <w:pPr>
        <w:pStyle w:val="4"/>
        <w:ind w:firstLine="472" w:firstLineChars="196"/>
        <w:rPr>
          <w:rFonts w:hAnsi="宋体" w:cs="宋体"/>
          <w:color w:val="000000"/>
          <w:highlight w:val="none"/>
        </w:rPr>
      </w:pPr>
      <w:r>
        <w:rPr>
          <w:rFonts w:hint="eastAsia" w:hAnsi="宋体" w:cs="宋体"/>
          <w:color w:val="000000"/>
          <w:highlight w:val="none"/>
        </w:rPr>
        <w:t>二、人员培训要求</w:t>
      </w:r>
      <w:bookmarkEnd w:id="1"/>
      <w:bookmarkEnd w:id="2"/>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货物安装、调试、验收合格后，成交人应对采购人的相关人员进行免费现场培训。培训内容包括基本操作、保养维修、常见故障及解决办法等。</w:t>
      </w:r>
    </w:p>
    <w:p>
      <w:pPr>
        <w:pStyle w:val="4"/>
        <w:ind w:firstLine="472" w:firstLineChars="196"/>
        <w:rPr>
          <w:rFonts w:hAnsi="宋体" w:cs="宋体"/>
          <w:color w:val="000000"/>
          <w:highlight w:val="none"/>
        </w:rPr>
      </w:pPr>
      <w:bookmarkStart w:id="3" w:name="_Toc21193"/>
      <w:bookmarkStart w:id="4" w:name="_Toc54938483"/>
      <w:r>
        <w:rPr>
          <w:rFonts w:hint="eastAsia" w:hAnsi="宋体" w:cs="宋体"/>
          <w:color w:val="000000"/>
          <w:highlight w:val="none"/>
        </w:rPr>
        <w:t>三、货物质量及售后服务要求</w:t>
      </w:r>
      <w:bookmarkEnd w:id="3"/>
      <w:bookmarkEnd w:id="4"/>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w:t>
      </w:r>
      <w:r>
        <w:rPr>
          <w:rFonts w:hint="eastAsia" w:ascii="宋体" w:hAnsi="宋体" w:eastAsia="宋体" w:cs="宋体"/>
          <w:color w:val="000000"/>
          <w:szCs w:val="21"/>
          <w:highlight w:val="none"/>
        </w:rPr>
        <w:t>1</w:t>
      </w:r>
      <w:r>
        <w:rPr>
          <w:rFonts w:hint="eastAsia" w:ascii="宋体" w:hAnsi="宋体" w:cs="宋体"/>
          <w:color w:val="000000"/>
          <w:szCs w:val="21"/>
          <w:highlight w:val="none"/>
        </w:rPr>
        <w:t>、货物质量：成交人提供的货物必须是全新、原装、合格正品，完全符合国家规定的质量标准和厂方的标准。货物完好，配件齐全。</w:t>
      </w:r>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w:t>
      </w:r>
      <w:r>
        <w:rPr>
          <w:rFonts w:hint="eastAsia" w:ascii="宋体" w:hAnsi="宋体" w:eastAsia="宋体" w:cs="宋体"/>
          <w:color w:val="000000"/>
          <w:szCs w:val="21"/>
          <w:highlight w:val="none"/>
        </w:rPr>
        <w:t>2</w:t>
      </w:r>
      <w:r>
        <w:rPr>
          <w:rFonts w:hint="eastAsia" w:ascii="宋体" w:hAnsi="宋体" w:cs="宋体"/>
          <w:color w:val="000000"/>
          <w:szCs w:val="21"/>
          <w:highlight w:val="none"/>
        </w:rPr>
        <w:t>、保修及售后服务：依据商品的保修条款及售后服务条款，提供原厂质保，质保期按照国家规定，且不低于所供品牌向用户承诺的质保期限，竞争性谈判文件另有约定的从其约定。质保期从货物验收合格后算起。</w:t>
      </w:r>
    </w:p>
    <w:p>
      <w:pPr>
        <w:pStyle w:val="4"/>
        <w:ind w:firstLine="472" w:firstLineChars="196"/>
        <w:rPr>
          <w:rFonts w:hAnsi="宋体" w:cs="宋体"/>
          <w:color w:val="000000"/>
          <w:highlight w:val="none"/>
        </w:rPr>
      </w:pPr>
      <w:bookmarkStart w:id="5" w:name="_Toc54938484"/>
      <w:bookmarkStart w:id="6" w:name="_Toc23093"/>
      <w:r>
        <w:rPr>
          <w:rFonts w:hint="eastAsia" w:hAnsi="宋体" w:cs="宋体"/>
          <w:color w:val="000000"/>
          <w:highlight w:val="none"/>
        </w:rPr>
        <w:t>四、验收</w:t>
      </w:r>
      <w:bookmarkEnd w:id="5"/>
      <w:bookmarkEnd w:id="6"/>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成交人和采购人双方共同实施验收工作，结果和验收报告经双方确认后生效。</w:t>
      </w:r>
    </w:p>
    <w:p>
      <w:pPr>
        <w:widowControl/>
        <w:jc w:val="left"/>
      </w:pP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181ED"/>
    <w:multiLevelType w:val="singleLevel"/>
    <w:tmpl w:val="B90181E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ZmI1NjJlMzA2YWVlMjZiNTFiYjg5NjRkNTAxNWQifQ=="/>
  </w:docVars>
  <w:rsids>
    <w:rsidRoot w:val="4963488E"/>
    <w:rsid w:val="49634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00" w:after="100"/>
      <w:jc w:val="center"/>
      <w:outlineLvl w:val="0"/>
    </w:pPr>
    <w:rPr>
      <w:b/>
      <w:bCs/>
      <w:kern w:val="44"/>
      <w:sz w:val="32"/>
      <w:szCs w:val="44"/>
    </w:rPr>
  </w:style>
  <w:style w:type="paragraph" w:styleId="4">
    <w:name w:val="heading 3"/>
    <w:basedOn w:val="1"/>
    <w:next w:val="5"/>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5">
    <w:name w:val="Normal Indent"/>
    <w:basedOn w:val="1"/>
    <w:qFormat/>
    <w:uiPriority w:val="0"/>
    <w:pPr>
      <w:autoSpaceDE w:val="0"/>
      <w:autoSpaceDN w:val="0"/>
      <w:adjustRightInd w:val="0"/>
      <w:ind w:firstLine="420"/>
      <w:jc w:val="left"/>
    </w:pPr>
    <w:rPr>
      <w:rFonts w:ascii="宋体"/>
      <w:kern w:val="0"/>
      <w:sz w:val="24"/>
      <w:szCs w:val="20"/>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2022-07-22T01:41:00Z</dcterms:created>
  <dc:creator>NTKO</dc:creator>
  <cp:lastModifiedBy>NTKO</cp:lastModifiedBy>
  <dcterms:modified xsi:type="dcterms:W3CDTF">2022-07-22T01:41:39Z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A398166E86064265B8A970BF9EEE7CF8</vt:lpwstr>
  </property>
</Properties>
</file>