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AC46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tbl>
      <w:tblPr>
        <w:tblStyle w:val="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981"/>
      </w:tblGrid>
      <w:tr w14:paraId="0F9D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6D3BCA59">
            <w:pPr>
              <w:spacing w:line="360" w:lineRule="auto"/>
              <w:jc w:val="center"/>
              <w:rPr>
                <w:rFonts w:cs="@仿宋_GB2312" w:asciiTheme="minorEastAsia" w:hAnsiTheme="minorEastAsia" w:eastAsiaTheme="minorEastAsia"/>
                <w:b/>
                <w:color w:val="auto"/>
                <w:kern w:val="2"/>
                <w:sz w:val="21"/>
                <w:szCs w:val="21"/>
                <w:highlight w:val="none"/>
              </w:rPr>
            </w:pPr>
            <w:r>
              <w:rPr>
                <w:rFonts w:hint="eastAsia" w:cs="@仿宋_GB2312" w:asciiTheme="minorEastAsia" w:hAnsiTheme="minorEastAsia" w:eastAsiaTheme="minorEastAsia"/>
                <w:b/>
                <w:color w:val="auto"/>
                <w:kern w:val="2"/>
                <w:sz w:val="21"/>
                <w:szCs w:val="21"/>
                <w:highlight w:val="none"/>
              </w:rPr>
              <w:t>序号</w:t>
            </w:r>
          </w:p>
        </w:tc>
        <w:tc>
          <w:tcPr>
            <w:tcW w:w="1277" w:type="dxa"/>
            <w:vAlign w:val="center"/>
          </w:tcPr>
          <w:p w14:paraId="500A1242">
            <w:pPr>
              <w:spacing w:line="360" w:lineRule="auto"/>
              <w:ind w:firstLine="435"/>
              <w:jc w:val="center"/>
              <w:rPr>
                <w:rFonts w:cs="@仿宋_GB2312" w:asciiTheme="minorEastAsia" w:hAnsiTheme="minorEastAsia" w:eastAsiaTheme="minorEastAsia"/>
                <w:b/>
                <w:color w:val="auto"/>
                <w:kern w:val="2"/>
                <w:sz w:val="21"/>
                <w:szCs w:val="21"/>
                <w:highlight w:val="none"/>
              </w:rPr>
            </w:pPr>
            <w:r>
              <w:rPr>
                <w:rFonts w:hint="eastAsia" w:cs="@仿宋_GB2312" w:asciiTheme="minorEastAsia" w:hAnsiTheme="minorEastAsia" w:eastAsiaTheme="minorEastAsia"/>
                <w:b/>
                <w:color w:val="auto"/>
                <w:kern w:val="2"/>
                <w:sz w:val="21"/>
                <w:szCs w:val="21"/>
                <w:highlight w:val="none"/>
              </w:rPr>
              <w:t>内容</w:t>
            </w:r>
          </w:p>
        </w:tc>
        <w:tc>
          <w:tcPr>
            <w:tcW w:w="6981" w:type="dxa"/>
            <w:vAlign w:val="center"/>
          </w:tcPr>
          <w:p w14:paraId="753B3B36">
            <w:pPr>
              <w:spacing w:line="360" w:lineRule="auto"/>
              <w:ind w:firstLine="435"/>
              <w:jc w:val="center"/>
              <w:rPr>
                <w:rFonts w:cs="@仿宋_GB2312" w:asciiTheme="minorEastAsia" w:hAnsiTheme="minorEastAsia" w:eastAsiaTheme="minorEastAsia"/>
                <w:b/>
                <w:color w:val="auto"/>
                <w:kern w:val="2"/>
                <w:sz w:val="21"/>
                <w:szCs w:val="21"/>
                <w:highlight w:val="none"/>
              </w:rPr>
            </w:pPr>
            <w:r>
              <w:rPr>
                <w:rFonts w:hint="eastAsia" w:cs="@仿宋_GB2312" w:asciiTheme="minorEastAsia" w:hAnsiTheme="minorEastAsia" w:eastAsiaTheme="minorEastAsia"/>
                <w:b/>
                <w:color w:val="auto"/>
                <w:kern w:val="2"/>
                <w:sz w:val="21"/>
                <w:szCs w:val="21"/>
                <w:highlight w:val="none"/>
              </w:rPr>
              <w:t>说明和要求</w:t>
            </w:r>
          </w:p>
        </w:tc>
      </w:tr>
      <w:tr w14:paraId="6304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6E1A5305">
            <w:pPr>
              <w:spacing w:line="360" w:lineRule="auto"/>
              <w:jc w:val="center"/>
              <w:rPr>
                <w:rFonts w:hint="eastAsia" w:cs="@仿宋_GB2312" w:asciiTheme="minorEastAsia" w:hAnsiTheme="minorEastAsia" w:eastAsiaTheme="minorEastAsia"/>
                <w:color w:val="auto"/>
                <w:kern w:val="2"/>
                <w:sz w:val="21"/>
                <w:szCs w:val="21"/>
                <w:highlight w:val="none"/>
              </w:rPr>
            </w:pPr>
            <w:r>
              <w:rPr>
                <w:rFonts w:hint="eastAsia" w:ascii="宋体" w:hAnsi="宋体" w:cs="宋体" w:eastAsiaTheme="minorEastAsia"/>
                <w:color w:val="auto"/>
                <w:kern w:val="2"/>
                <w:sz w:val="21"/>
                <w:szCs w:val="21"/>
                <w:highlight w:val="none"/>
              </w:rPr>
              <w:t>1</w:t>
            </w:r>
          </w:p>
        </w:tc>
        <w:tc>
          <w:tcPr>
            <w:tcW w:w="1277" w:type="dxa"/>
            <w:vAlign w:val="center"/>
          </w:tcPr>
          <w:p w14:paraId="550A2547">
            <w:pPr>
              <w:spacing w:line="360" w:lineRule="auto"/>
              <w:rPr>
                <w:rFonts w:hint="eastAsia" w:cs="@仿宋_GB2312" w:asciiTheme="minorEastAsia" w:hAnsiTheme="minorEastAsia" w:eastAsiaTheme="minorEastAsia"/>
                <w:color w:val="auto"/>
                <w:kern w:val="2"/>
                <w:sz w:val="21"/>
                <w:szCs w:val="21"/>
                <w:highlight w:val="none"/>
              </w:rPr>
            </w:pPr>
            <w:r>
              <w:rPr>
                <w:rFonts w:hint="eastAsia" w:ascii="宋体" w:hAnsi="宋体" w:cs="宋体" w:eastAsiaTheme="minorEastAsia"/>
                <w:color w:val="auto"/>
                <w:kern w:val="2"/>
                <w:sz w:val="21"/>
                <w:szCs w:val="21"/>
                <w:highlight w:val="none"/>
              </w:rPr>
              <w:t>计价方式</w:t>
            </w:r>
          </w:p>
        </w:tc>
        <w:tc>
          <w:tcPr>
            <w:tcW w:w="6981" w:type="dxa"/>
            <w:vAlign w:val="center"/>
          </w:tcPr>
          <w:p w14:paraId="092C5213">
            <w:pPr>
              <w:spacing w:line="360" w:lineRule="auto"/>
              <w:rPr>
                <w:rFonts w:hint="eastAsia" w:ascii="宋体" w:hAnsi="宋体" w:cs="宋体" w:eastAsiaTheme="minorEastAsia"/>
                <w:color w:val="auto"/>
                <w:kern w:val="2"/>
                <w:sz w:val="21"/>
                <w:szCs w:val="21"/>
                <w:highlight w:val="none"/>
              </w:rPr>
            </w:pPr>
            <w:r>
              <w:rPr>
                <w:rFonts w:hint="eastAsia" w:ascii="宋体" w:hAnsi="宋体" w:cs="宋体" w:eastAsiaTheme="minorEastAsia"/>
                <w:color w:val="auto"/>
                <w:kern w:val="2"/>
                <w:sz w:val="21"/>
                <w:szCs w:val="21"/>
                <w:highlight w:val="none"/>
              </w:rPr>
              <w:t xml:space="preserve">本项目采用工程量清单计价。 </w:t>
            </w:r>
          </w:p>
          <w:p w14:paraId="1FAA3E46">
            <w:pPr>
              <w:spacing w:line="360" w:lineRule="auto"/>
              <w:rPr>
                <w:rFonts w:hint="eastAsia" w:ascii="宋体" w:hAnsi="宋体" w:cs="宋体" w:eastAsiaTheme="minorEastAsia"/>
                <w:color w:val="auto"/>
                <w:kern w:val="2"/>
                <w:sz w:val="21"/>
                <w:szCs w:val="21"/>
                <w:highlight w:val="none"/>
              </w:rPr>
            </w:pPr>
            <w:r>
              <w:rPr>
                <w:rFonts w:hint="default" w:ascii="宋体" w:hAnsi="宋体" w:cs="宋体" w:eastAsiaTheme="minorEastAsia"/>
                <w:color w:val="auto"/>
                <w:kern w:val="2"/>
                <w:sz w:val="21"/>
                <w:szCs w:val="21"/>
                <w:highlight w:val="none"/>
              </w:rPr>
              <w:t>①</w:t>
            </w:r>
            <w:r>
              <w:rPr>
                <w:rFonts w:hint="eastAsia" w:ascii="宋体" w:hAnsi="宋体" w:cs="宋体" w:eastAsiaTheme="minorEastAsia"/>
                <w:color w:val="auto"/>
                <w:kern w:val="2"/>
                <w:sz w:val="21"/>
                <w:szCs w:val="21"/>
                <w:highlight w:val="none"/>
              </w:rPr>
              <w:t xml:space="preserve">除采购文件另有约定外，本项目计税采用增值税一般计税方法。 </w:t>
            </w:r>
          </w:p>
          <w:p w14:paraId="30DCEBE7">
            <w:pPr>
              <w:spacing w:line="360" w:lineRule="auto"/>
              <w:rPr>
                <w:rFonts w:hint="eastAsia" w:ascii="宋体" w:hAnsi="宋体" w:cs="宋体" w:eastAsiaTheme="minorEastAsia"/>
                <w:color w:val="auto"/>
                <w:kern w:val="2"/>
                <w:sz w:val="21"/>
                <w:szCs w:val="21"/>
                <w:highlight w:val="none"/>
              </w:rPr>
            </w:pPr>
            <w:r>
              <w:rPr>
                <w:rFonts w:hint="eastAsia" w:ascii="宋体" w:hAnsi="宋体" w:cs="宋体" w:eastAsiaTheme="minorEastAsia"/>
                <w:color w:val="auto"/>
                <w:kern w:val="2"/>
                <w:sz w:val="21"/>
                <w:szCs w:val="21"/>
                <w:highlight w:val="none"/>
              </w:rPr>
              <w:t xml:space="preserve">②建设工程造价由分部分项工程费、措施项目费、不可竞争费、其他项目费和税金构成。 </w:t>
            </w:r>
          </w:p>
          <w:p w14:paraId="6CEE4AD1">
            <w:pPr>
              <w:spacing w:line="360" w:lineRule="auto"/>
              <w:rPr>
                <w:rFonts w:hint="eastAsia" w:ascii="宋体" w:hAnsi="宋体" w:cs="宋体" w:eastAsiaTheme="minorEastAsia"/>
                <w:color w:val="auto"/>
                <w:kern w:val="0"/>
                <w:sz w:val="21"/>
                <w:szCs w:val="21"/>
                <w:highlight w:val="none"/>
                <w:lang w:bidi="ar"/>
              </w:rPr>
            </w:pPr>
            <w:r>
              <w:rPr>
                <w:rFonts w:hint="eastAsia" w:ascii="宋体" w:hAnsi="宋体" w:cs="宋体" w:eastAsiaTheme="minorEastAsia"/>
                <w:color w:val="auto"/>
                <w:kern w:val="2"/>
                <w:sz w:val="21"/>
                <w:szCs w:val="21"/>
                <w:highlight w:val="none"/>
              </w:rPr>
              <w:t>③分部分项工程项目清单采用综合单价计价。综合单价是指完成一个规定计量单位的分部分项工程和措施清单项目所需的人工费、材料费、机械费和综合费（企业管理费和利润）以及一定范围内的风险费用。</w:t>
            </w:r>
          </w:p>
        </w:tc>
      </w:tr>
      <w:tr w14:paraId="0E5F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3EFD2FDA">
            <w:pPr>
              <w:spacing w:line="360" w:lineRule="auto"/>
              <w:jc w:val="center"/>
              <w:rPr>
                <w:rFonts w:hint="eastAsia" w:cs="@仿宋_GB2312" w:asciiTheme="minorEastAsia" w:hAnsiTheme="minorEastAsia" w:eastAsiaTheme="minorEastAsia"/>
                <w:color w:val="auto"/>
                <w:kern w:val="2"/>
                <w:sz w:val="21"/>
                <w:szCs w:val="21"/>
                <w:highlight w:val="none"/>
                <w:lang w:eastAsia="zh-CN"/>
              </w:rPr>
            </w:pPr>
            <w:r>
              <w:rPr>
                <w:rFonts w:hint="eastAsia" w:cs="@仿宋_GB2312" w:asciiTheme="minorEastAsia" w:hAnsiTheme="minorEastAsia" w:eastAsiaTheme="minorEastAsia"/>
                <w:color w:val="auto"/>
                <w:kern w:val="2"/>
                <w:sz w:val="21"/>
                <w:szCs w:val="21"/>
                <w:highlight w:val="none"/>
                <w:lang w:val="en-US" w:eastAsia="zh-CN"/>
              </w:rPr>
              <w:t>2</w:t>
            </w:r>
          </w:p>
        </w:tc>
        <w:tc>
          <w:tcPr>
            <w:tcW w:w="1277" w:type="dxa"/>
            <w:vAlign w:val="center"/>
          </w:tcPr>
          <w:p w14:paraId="5A949CD2">
            <w:pPr>
              <w:spacing w:line="360" w:lineRule="auto"/>
              <w:rPr>
                <w:rFonts w:cs="@仿宋_GB2312" w:asciiTheme="minorEastAsia" w:hAnsiTheme="minorEastAsia" w:eastAsiaTheme="minorEastAsia"/>
                <w:color w:val="auto"/>
                <w:kern w:val="2"/>
                <w:sz w:val="21"/>
                <w:szCs w:val="21"/>
                <w:highlight w:val="none"/>
              </w:rPr>
            </w:pPr>
            <w:r>
              <w:rPr>
                <w:rFonts w:hint="eastAsia" w:cs="@仿宋_GB2312" w:asciiTheme="minorEastAsia" w:hAnsiTheme="minorEastAsia" w:eastAsiaTheme="minorEastAsia"/>
                <w:color w:val="auto"/>
                <w:kern w:val="2"/>
                <w:sz w:val="21"/>
                <w:szCs w:val="21"/>
                <w:highlight w:val="none"/>
              </w:rPr>
              <w:t>人员到岗及履约要求</w:t>
            </w:r>
          </w:p>
        </w:tc>
        <w:tc>
          <w:tcPr>
            <w:tcW w:w="6981" w:type="dxa"/>
            <w:vAlign w:val="center"/>
          </w:tcPr>
          <w:p w14:paraId="5A9A6875">
            <w:pPr>
              <w:widowControl/>
              <w:spacing w:line="360" w:lineRule="auto"/>
              <w:jc w:val="left"/>
              <w:rPr>
                <w:rFonts w:hint="eastAsia" w:ascii="宋体" w:hAnsi="宋体" w:cs="宋体" w:eastAsiaTheme="minorEastAsia"/>
                <w:color w:val="auto"/>
                <w:kern w:val="2"/>
                <w:sz w:val="21"/>
                <w:szCs w:val="21"/>
                <w:highlight w:val="none"/>
              </w:rPr>
            </w:pPr>
            <w:r>
              <w:rPr>
                <w:rFonts w:hint="eastAsia" w:cs="宋体" w:eastAsiaTheme="minorEastAsia"/>
                <w:color w:val="auto"/>
                <w:kern w:val="0"/>
                <w:sz w:val="21"/>
                <w:szCs w:val="21"/>
                <w:highlight w:val="none"/>
                <w:lang w:val="en-US" w:eastAsia="zh-CN" w:bidi="ar"/>
              </w:rPr>
              <w:t>①</w:t>
            </w:r>
            <w:r>
              <w:rPr>
                <w:rFonts w:hint="eastAsia" w:ascii="宋体" w:hAnsi="宋体" w:cs="宋体" w:eastAsiaTheme="minorEastAsia"/>
                <w:color w:val="auto"/>
                <w:kern w:val="0"/>
                <w:sz w:val="21"/>
                <w:szCs w:val="21"/>
                <w:highlight w:val="none"/>
                <w:lang w:bidi="ar"/>
              </w:rPr>
              <w:t>供应商一旦成交，响应文件时所报的本项目的项目经理、技术负责人及其他主要管理人员等在整个项目施工期内必须在位，否则采购人有权终止合同。由此造成的损失，成交供应商自行承担并赔偿可能给采购人造成的损失。</w:t>
            </w:r>
          </w:p>
          <w:p w14:paraId="167A86BF">
            <w:pPr>
              <w:widowControl/>
              <w:spacing w:line="360" w:lineRule="auto"/>
              <w:jc w:val="left"/>
              <w:rPr>
                <w:rFonts w:hint="eastAsia" w:ascii="宋体" w:hAnsi="宋体" w:cs="宋体" w:eastAsiaTheme="minorEastAsia"/>
                <w:color w:val="auto"/>
                <w:kern w:val="2"/>
                <w:sz w:val="21"/>
                <w:szCs w:val="21"/>
                <w:highlight w:val="none"/>
              </w:rPr>
            </w:pPr>
            <w:r>
              <w:rPr>
                <w:rFonts w:hint="eastAsia" w:cs="宋体" w:eastAsiaTheme="minorEastAsia"/>
                <w:color w:val="auto"/>
                <w:kern w:val="0"/>
                <w:sz w:val="21"/>
                <w:szCs w:val="21"/>
                <w:highlight w:val="none"/>
                <w:lang w:val="en-US" w:eastAsia="zh-CN" w:bidi="ar"/>
              </w:rPr>
              <w:t>②</w:t>
            </w:r>
            <w:r>
              <w:rPr>
                <w:rFonts w:hint="eastAsia" w:ascii="宋体" w:hAnsi="宋体" w:cs="宋体" w:eastAsiaTheme="minorEastAsia"/>
                <w:color w:val="auto"/>
                <w:kern w:val="0"/>
                <w:sz w:val="21"/>
                <w:szCs w:val="21"/>
                <w:highlight w:val="none"/>
                <w:lang w:bidi="ar"/>
              </w:rPr>
              <w:t>成交供应商不得擅自更换</w:t>
            </w:r>
            <w:r>
              <w:rPr>
                <w:rFonts w:hint="eastAsia" w:cs="宋体" w:eastAsiaTheme="minorEastAsia"/>
                <w:color w:val="auto"/>
                <w:kern w:val="0"/>
                <w:sz w:val="21"/>
                <w:szCs w:val="21"/>
                <w:highlight w:val="none"/>
                <w:lang w:val="en-US" w:eastAsia="zh-CN" w:bidi="ar"/>
              </w:rPr>
              <w:t>谈判</w:t>
            </w:r>
            <w:r>
              <w:rPr>
                <w:rFonts w:hint="eastAsia" w:ascii="宋体" w:hAnsi="宋体" w:cs="宋体" w:eastAsiaTheme="minorEastAsia"/>
                <w:color w:val="auto"/>
                <w:kern w:val="0"/>
                <w:sz w:val="21"/>
                <w:szCs w:val="21"/>
                <w:highlight w:val="none"/>
                <w:lang w:bidi="ar"/>
              </w:rPr>
              <w:t>响应函时所报项目经理</w:t>
            </w:r>
            <w:r>
              <w:rPr>
                <w:rFonts w:hint="eastAsia" w:cs="宋体" w:eastAsiaTheme="minorEastAsia"/>
                <w:color w:val="auto"/>
                <w:kern w:val="0"/>
                <w:sz w:val="21"/>
                <w:szCs w:val="21"/>
                <w:highlight w:val="none"/>
                <w:lang w:eastAsia="zh-CN" w:bidi="ar"/>
              </w:rPr>
              <w:t>、</w:t>
            </w:r>
            <w:r>
              <w:rPr>
                <w:rFonts w:hint="eastAsia" w:cs="宋体" w:eastAsiaTheme="minorEastAsia"/>
                <w:color w:val="auto"/>
                <w:kern w:val="0"/>
                <w:sz w:val="21"/>
                <w:szCs w:val="21"/>
                <w:highlight w:val="none"/>
                <w:lang w:val="en-US" w:eastAsia="zh-CN" w:bidi="ar"/>
              </w:rPr>
              <w:t>技术负责人</w:t>
            </w:r>
            <w:r>
              <w:rPr>
                <w:rFonts w:hint="eastAsia" w:ascii="宋体" w:hAnsi="宋体" w:cs="宋体" w:eastAsiaTheme="minorEastAsia"/>
                <w:color w:val="auto"/>
                <w:kern w:val="0"/>
                <w:sz w:val="21"/>
                <w:szCs w:val="21"/>
                <w:highlight w:val="none"/>
                <w:lang w:bidi="ar"/>
              </w:rPr>
              <w:t>及项目部主要管理人员。确需更换时，须报采购人同意，更换后人员不得低于成交供应商</w:t>
            </w:r>
            <w:r>
              <w:rPr>
                <w:rFonts w:hint="eastAsia" w:cs="宋体" w:eastAsiaTheme="minorEastAsia"/>
                <w:color w:val="auto"/>
                <w:kern w:val="0"/>
                <w:sz w:val="21"/>
                <w:szCs w:val="21"/>
                <w:highlight w:val="none"/>
                <w:lang w:val="en-US" w:eastAsia="zh-CN" w:bidi="ar"/>
              </w:rPr>
              <w:t>谈判</w:t>
            </w:r>
            <w:r>
              <w:rPr>
                <w:rFonts w:hint="eastAsia" w:ascii="宋体" w:hAnsi="宋体" w:cs="宋体" w:eastAsiaTheme="minorEastAsia"/>
                <w:color w:val="auto"/>
                <w:kern w:val="0"/>
                <w:sz w:val="21"/>
                <w:szCs w:val="21"/>
                <w:highlight w:val="none"/>
                <w:lang w:bidi="ar"/>
              </w:rPr>
              <w:t xml:space="preserve">响应函时所报人员资质和技术水平。采购人如认为有必要，可要求对上述人员中的部分人员作出更好的调整。 </w:t>
            </w:r>
          </w:p>
          <w:p w14:paraId="3D92FE43">
            <w:pPr>
              <w:spacing w:line="360" w:lineRule="auto"/>
              <w:rPr>
                <w:rFonts w:cs="@仿宋_GB2312" w:asciiTheme="minorEastAsia" w:hAnsiTheme="minorEastAsia" w:eastAsiaTheme="minorEastAsia"/>
                <w:color w:val="auto"/>
                <w:kern w:val="2"/>
                <w:sz w:val="21"/>
                <w:szCs w:val="21"/>
                <w:highlight w:val="none"/>
              </w:rPr>
            </w:pPr>
            <w:r>
              <w:rPr>
                <w:rFonts w:hint="eastAsia" w:cs="宋体" w:eastAsiaTheme="minorEastAsia"/>
                <w:color w:val="auto"/>
                <w:kern w:val="0"/>
                <w:sz w:val="21"/>
                <w:szCs w:val="21"/>
                <w:highlight w:val="none"/>
                <w:lang w:val="en-US" w:eastAsia="zh-CN" w:bidi="ar"/>
              </w:rPr>
              <w:t>③</w:t>
            </w:r>
            <w:r>
              <w:rPr>
                <w:rFonts w:hint="eastAsia" w:ascii="宋体" w:hAnsi="宋体" w:cs="宋体" w:eastAsiaTheme="minorEastAsia"/>
                <w:color w:val="auto"/>
                <w:kern w:val="0"/>
                <w:sz w:val="21"/>
                <w:szCs w:val="21"/>
                <w:highlight w:val="none"/>
                <w:lang w:bidi="ar"/>
              </w:rPr>
              <w:t>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成交供应商索赔。</w:t>
            </w:r>
          </w:p>
        </w:tc>
      </w:tr>
      <w:tr w14:paraId="6916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069887B2">
            <w:pPr>
              <w:spacing w:line="360" w:lineRule="auto"/>
              <w:jc w:val="center"/>
              <w:rPr>
                <w:rFonts w:hint="eastAsia" w:cs="@仿宋_GB2312" w:asciiTheme="minorEastAsia" w:hAnsiTheme="minorEastAsia" w:eastAsiaTheme="minorEastAsia"/>
                <w:color w:val="auto"/>
                <w:kern w:val="2"/>
                <w:sz w:val="21"/>
                <w:szCs w:val="21"/>
                <w:highlight w:val="none"/>
                <w:lang w:eastAsia="zh-CN"/>
              </w:rPr>
            </w:pPr>
            <w:r>
              <w:rPr>
                <w:rFonts w:hint="eastAsia" w:cs="@仿宋_GB2312" w:asciiTheme="minorEastAsia" w:hAnsiTheme="minorEastAsia" w:eastAsiaTheme="minorEastAsia"/>
                <w:color w:val="auto"/>
                <w:kern w:val="2"/>
                <w:sz w:val="21"/>
                <w:szCs w:val="21"/>
                <w:highlight w:val="none"/>
                <w:lang w:val="en-US" w:eastAsia="zh-CN"/>
              </w:rPr>
              <w:t>3</w:t>
            </w:r>
          </w:p>
        </w:tc>
        <w:tc>
          <w:tcPr>
            <w:tcW w:w="1277" w:type="dxa"/>
            <w:vAlign w:val="center"/>
          </w:tcPr>
          <w:p w14:paraId="38C60B56">
            <w:pPr>
              <w:spacing w:line="360" w:lineRule="auto"/>
              <w:rPr>
                <w:rFonts w:cs="@仿宋_GB2312" w:asciiTheme="minorEastAsia" w:hAnsiTheme="minorEastAsia" w:eastAsiaTheme="minorEastAsia"/>
                <w:color w:val="auto"/>
                <w:kern w:val="2"/>
                <w:sz w:val="21"/>
                <w:szCs w:val="21"/>
                <w:highlight w:val="none"/>
              </w:rPr>
            </w:pPr>
            <w:r>
              <w:rPr>
                <w:rFonts w:hint="eastAsia" w:cs="@仿宋_GB2312" w:asciiTheme="minorEastAsia" w:hAnsiTheme="minorEastAsia" w:eastAsiaTheme="minorEastAsia"/>
                <w:color w:val="auto"/>
                <w:kern w:val="2"/>
                <w:sz w:val="21"/>
                <w:szCs w:val="21"/>
                <w:highlight w:val="none"/>
              </w:rPr>
              <w:t>材料要求</w:t>
            </w:r>
          </w:p>
        </w:tc>
        <w:tc>
          <w:tcPr>
            <w:tcW w:w="6981" w:type="dxa"/>
            <w:vAlign w:val="center"/>
          </w:tcPr>
          <w:p w14:paraId="77D1A983">
            <w:pPr>
              <w:widowControl/>
              <w:spacing w:line="360" w:lineRule="auto"/>
              <w:jc w:val="left"/>
              <w:rPr>
                <w:rFonts w:hint="eastAsia" w:ascii="宋体" w:hAnsi="宋体" w:cs="宋体" w:eastAsiaTheme="minorEastAsia"/>
                <w:color w:val="auto"/>
                <w:kern w:val="2"/>
                <w:sz w:val="21"/>
                <w:szCs w:val="21"/>
                <w:highlight w:val="none"/>
              </w:rPr>
            </w:pPr>
            <w:r>
              <w:rPr>
                <w:rFonts w:hint="eastAsia" w:ascii="宋体" w:hAnsi="宋体" w:cs="宋体" w:eastAsiaTheme="minorEastAsia"/>
                <w:color w:val="auto"/>
                <w:kern w:val="0"/>
                <w:sz w:val="21"/>
                <w:szCs w:val="21"/>
                <w:highlight w:val="none"/>
                <w:lang w:bidi="ar"/>
              </w:rPr>
              <w:t>①除采购人提供的材料、设备外，凡属承包范围内的所有材料、设备均由成交</w:t>
            </w:r>
            <w:r>
              <w:rPr>
                <w:rFonts w:hint="eastAsia" w:cs="宋体" w:eastAsiaTheme="minorEastAsia"/>
                <w:color w:val="auto"/>
                <w:kern w:val="0"/>
                <w:sz w:val="21"/>
                <w:szCs w:val="21"/>
                <w:highlight w:val="none"/>
                <w:lang w:val="en-US" w:eastAsia="zh-CN" w:bidi="ar"/>
              </w:rPr>
              <w:t>供应商</w:t>
            </w:r>
            <w:r>
              <w:rPr>
                <w:rFonts w:hint="eastAsia" w:ascii="宋体" w:hAnsi="宋体" w:cs="宋体" w:eastAsiaTheme="minorEastAsia"/>
                <w:color w:val="auto"/>
                <w:kern w:val="0"/>
                <w:sz w:val="21"/>
                <w:szCs w:val="21"/>
                <w:highlight w:val="none"/>
                <w:lang w:bidi="ar"/>
              </w:rPr>
              <w:t>自行采购，成交</w:t>
            </w:r>
            <w:r>
              <w:rPr>
                <w:rFonts w:hint="eastAsia" w:cs="宋体" w:eastAsiaTheme="minorEastAsia"/>
                <w:color w:val="auto"/>
                <w:kern w:val="0"/>
                <w:sz w:val="21"/>
                <w:szCs w:val="21"/>
                <w:highlight w:val="none"/>
                <w:lang w:val="en-US" w:eastAsia="zh-CN" w:bidi="ar"/>
              </w:rPr>
              <w:t>供应商</w:t>
            </w:r>
            <w:r>
              <w:rPr>
                <w:rFonts w:hint="eastAsia" w:ascii="宋体" w:hAnsi="宋体" w:cs="宋体" w:eastAsiaTheme="minorEastAsia"/>
                <w:color w:val="auto"/>
                <w:kern w:val="0"/>
                <w:sz w:val="21"/>
                <w:szCs w:val="21"/>
                <w:highlight w:val="none"/>
                <w:lang w:bidi="ar"/>
              </w:rPr>
              <w:t xml:space="preserve">必须选用合格产品并经采购人同意。 </w:t>
            </w:r>
          </w:p>
          <w:p w14:paraId="446735FB">
            <w:pPr>
              <w:widowControl/>
              <w:spacing w:line="360" w:lineRule="auto"/>
              <w:jc w:val="left"/>
              <w:rPr>
                <w:rFonts w:hint="eastAsia" w:ascii="宋体" w:hAnsi="宋体" w:cs="宋体" w:eastAsiaTheme="minorEastAsia"/>
                <w:color w:val="auto"/>
                <w:kern w:val="2"/>
                <w:sz w:val="21"/>
                <w:szCs w:val="21"/>
                <w:highlight w:val="none"/>
              </w:rPr>
            </w:pPr>
            <w:r>
              <w:rPr>
                <w:rFonts w:hint="eastAsia" w:ascii="宋体" w:hAnsi="宋体" w:cs="宋体" w:eastAsiaTheme="minorEastAsia"/>
                <w:color w:val="auto"/>
                <w:kern w:val="0"/>
                <w:sz w:val="21"/>
                <w:szCs w:val="21"/>
                <w:highlight w:val="none"/>
                <w:lang w:bidi="ar"/>
              </w:rPr>
              <w:t>②</w:t>
            </w:r>
            <w:r>
              <w:rPr>
                <w:rFonts w:hint="eastAsia" w:cs="宋体" w:eastAsiaTheme="minorEastAsia"/>
                <w:color w:val="auto"/>
                <w:kern w:val="0"/>
                <w:sz w:val="21"/>
                <w:szCs w:val="21"/>
                <w:highlight w:val="none"/>
                <w:lang w:eastAsia="zh-CN" w:bidi="ar"/>
              </w:rPr>
              <w:t>成交供应商</w:t>
            </w:r>
            <w:r>
              <w:rPr>
                <w:rFonts w:hint="eastAsia" w:ascii="宋体" w:hAnsi="宋体" w:cs="宋体" w:eastAsiaTheme="minorEastAsia"/>
                <w:color w:val="auto"/>
                <w:kern w:val="0"/>
                <w:sz w:val="21"/>
                <w:szCs w:val="21"/>
                <w:highlight w:val="none"/>
                <w:lang w:bidi="ar"/>
              </w:rPr>
              <w:t>对本工程的主要材料、设备及供应的厂商，须进行资格和品牌的认定，在采购前应将供应商的有关资料（如质保书、生产许可证等或备案要求）报监理单位审查，并经采购人批准后方可采购。否则，采购人有权不予验收进场，由此造成的损失由</w:t>
            </w:r>
            <w:r>
              <w:rPr>
                <w:rFonts w:hint="eastAsia" w:cs="宋体" w:eastAsiaTheme="minorEastAsia"/>
                <w:color w:val="auto"/>
                <w:kern w:val="0"/>
                <w:sz w:val="21"/>
                <w:szCs w:val="21"/>
                <w:highlight w:val="none"/>
                <w:lang w:eastAsia="zh-CN" w:bidi="ar"/>
              </w:rPr>
              <w:t>成交供应商</w:t>
            </w:r>
            <w:r>
              <w:rPr>
                <w:rFonts w:hint="eastAsia" w:ascii="宋体" w:hAnsi="宋体" w:cs="宋体" w:eastAsiaTheme="minorEastAsia"/>
                <w:color w:val="auto"/>
                <w:kern w:val="0"/>
                <w:sz w:val="21"/>
                <w:szCs w:val="21"/>
                <w:highlight w:val="none"/>
                <w:lang w:bidi="ar"/>
              </w:rPr>
              <w:t xml:space="preserve">自负，工期不予顺延。 </w:t>
            </w:r>
          </w:p>
          <w:p w14:paraId="535A59AD">
            <w:pPr>
              <w:widowControl/>
              <w:spacing w:line="360" w:lineRule="auto"/>
              <w:jc w:val="left"/>
              <w:rPr>
                <w:rFonts w:hint="eastAsia" w:ascii="宋体" w:hAnsi="宋体" w:cs="宋体" w:eastAsiaTheme="minorEastAsia"/>
                <w:color w:val="auto"/>
                <w:kern w:val="2"/>
                <w:sz w:val="21"/>
                <w:szCs w:val="21"/>
                <w:highlight w:val="none"/>
              </w:rPr>
            </w:pPr>
            <w:r>
              <w:rPr>
                <w:rFonts w:hint="eastAsia" w:ascii="宋体" w:hAnsi="宋体" w:cs="宋体" w:eastAsiaTheme="minorEastAsia"/>
                <w:color w:val="auto"/>
                <w:kern w:val="0"/>
                <w:sz w:val="21"/>
                <w:szCs w:val="21"/>
                <w:highlight w:val="none"/>
                <w:lang w:bidi="ar"/>
              </w:rPr>
              <w:t>③由</w:t>
            </w:r>
            <w:r>
              <w:rPr>
                <w:rFonts w:hint="eastAsia" w:cs="宋体" w:eastAsiaTheme="minorEastAsia"/>
                <w:color w:val="auto"/>
                <w:kern w:val="0"/>
                <w:sz w:val="21"/>
                <w:szCs w:val="21"/>
                <w:highlight w:val="none"/>
                <w:lang w:eastAsia="zh-CN" w:bidi="ar"/>
              </w:rPr>
              <w:t>成交供应商</w:t>
            </w:r>
            <w:r>
              <w:rPr>
                <w:rFonts w:hint="eastAsia" w:ascii="宋体" w:hAnsi="宋体" w:cs="宋体" w:eastAsiaTheme="minorEastAsia"/>
                <w:color w:val="auto"/>
                <w:kern w:val="0"/>
                <w:sz w:val="21"/>
                <w:szCs w:val="21"/>
                <w:highlight w:val="none"/>
                <w:lang w:bidi="ar"/>
              </w:rPr>
              <w:t>实施采购的工程主要设备和材料由</w:t>
            </w:r>
            <w:r>
              <w:rPr>
                <w:rFonts w:hint="eastAsia" w:cs="宋体" w:eastAsiaTheme="minorEastAsia"/>
                <w:color w:val="auto"/>
                <w:kern w:val="0"/>
                <w:sz w:val="21"/>
                <w:szCs w:val="21"/>
                <w:highlight w:val="none"/>
                <w:lang w:eastAsia="zh-CN" w:bidi="ar"/>
              </w:rPr>
              <w:t>成交供应商</w:t>
            </w:r>
            <w:r>
              <w:rPr>
                <w:rFonts w:hint="eastAsia" w:ascii="宋体" w:hAnsi="宋体" w:cs="宋体" w:eastAsiaTheme="minorEastAsia"/>
                <w:color w:val="auto"/>
                <w:kern w:val="0"/>
                <w:sz w:val="21"/>
                <w:szCs w:val="21"/>
                <w:highlight w:val="none"/>
                <w:lang w:bidi="ar"/>
              </w:rPr>
              <w:t>实施，品牌、规格等须经采购人认可签字后方可进行采购，</w:t>
            </w:r>
            <w:r>
              <w:rPr>
                <w:rFonts w:hint="eastAsia" w:cs="宋体" w:eastAsiaTheme="minorEastAsia"/>
                <w:color w:val="auto"/>
                <w:kern w:val="0"/>
                <w:sz w:val="21"/>
                <w:szCs w:val="21"/>
                <w:highlight w:val="none"/>
                <w:lang w:eastAsia="zh-CN" w:bidi="ar"/>
              </w:rPr>
              <w:t>成交供应商</w:t>
            </w:r>
            <w:r>
              <w:rPr>
                <w:rFonts w:hint="eastAsia" w:ascii="宋体" w:hAnsi="宋体" w:cs="宋体" w:eastAsiaTheme="minorEastAsia"/>
                <w:color w:val="auto"/>
                <w:kern w:val="0"/>
                <w:sz w:val="21"/>
                <w:szCs w:val="21"/>
                <w:highlight w:val="none"/>
                <w:lang w:bidi="ar"/>
              </w:rPr>
              <w:t>采购计划应提前报采购人审定。因</w:t>
            </w:r>
            <w:r>
              <w:rPr>
                <w:rFonts w:hint="eastAsia" w:cs="宋体" w:eastAsiaTheme="minorEastAsia"/>
                <w:color w:val="auto"/>
                <w:kern w:val="0"/>
                <w:sz w:val="21"/>
                <w:szCs w:val="21"/>
                <w:highlight w:val="none"/>
                <w:lang w:eastAsia="zh-CN" w:bidi="ar"/>
              </w:rPr>
              <w:t>成交供应商</w:t>
            </w:r>
            <w:r>
              <w:rPr>
                <w:rFonts w:hint="eastAsia" w:ascii="宋体" w:hAnsi="宋体" w:cs="宋体" w:eastAsiaTheme="minorEastAsia"/>
                <w:color w:val="auto"/>
                <w:kern w:val="0"/>
                <w:sz w:val="21"/>
                <w:szCs w:val="21"/>
                <w:highlight w:val="none"/>
                <w:lang w:bidi="ar"/>
              </w:rPr>
              <w:t>资源投入不足，直接影响工程质量和工期，且无视监理工程师的警告而不做改进，从而引起工程的质量、进度和材料设备准备严重滞后时，采购人有权采取相关措施进行补救，相关措施的费用由</w:t>
            </w:r>
            <w:r>
              <w:rPr>
                <w:rFonts w:hint="eastAsia" w:cs="宋体" w:eastAsiaTheme="minorEastAsia"/>
                <w:color w:val="auto"/>
                <w:kern w:val="0"/>
                <w:sz w:val="21"/>
                <w:szCs w:val="21"/>
                <w:highlight w:val="none"/>
                <w:lang w:eastAsia="zh-CN" w:bidi="ar"/>
              </w:rPr>
              <w:t>成交供应商</w:t>
            </w:r>
            <w:r>
              <w:rPr>
                <w:rFonts w:hint="eastAsia" w:ascii="宋体" w:hAnsi="宋体" w:cs="宋体" w:eastAsiaTheme="minorEastAsia"/>
                <w:color w:val="auto"/>
                <w:kern w:val="0"/>
                <w:sz w:val="21"/>
                <w:szCs w:val="21"/>
                <w:highlight w:val="none"/>
                <w:lang w:bidi="ar"/>
              </w:rPr>
              <w:t xml:space="preserve">承担。 </w:t>
            </w:r>
          </w:p>
          <w:p w14:paraId="2C84A260">
            <w:pPr>
              <w:spacing w:line="360" w:lineRule="auto"/>
              <w:rPr>
                <w:rFonts w:hint="eastAsia" w:cs="@仿宋_GB2312" w:asciiTheme="minorEastAsia" w:hAnsiTheme="minorEastAsia" w:eastAsiaTheme="minorEastAsia"/>
                <w:color w:val="auto"/>
                <w:kern w:val="2"/>
                <w:sz w:val="21"/>
                <w:szCs w:val="21"/>
                <w:highlight w:val="none"/>
                <w:lang w:val="en-US" w:eastAsia="zh-CN"/>
              </w:rPr>
            </w:pPr>
            <w:r>
              <w:rPr>
                <w:rFonts w:hint="eastAsia" w:ascii="宋体" w:hAnsi="宋体" w:cs="宋体" w:eastAsiaTheme="minorEastAsia"/>
                <w:color w:val="auto"/>
                <w:kern w:val="0"/>
                <w:sz w:val="21"/>
                <w:szCs w:val="21"/>
                <w:highlight w:val="none"/>
                <w:lang w:bidi="ar"/>
              </w:rPr>
              <w:t>④若</w:t>
            </w:r>
            <w:r>
              <w:rPr>
                <w:rFonts w:hint="eastAsia" w:cs="宋体" w:eastAsiaTheme="minorEastAsia"/>
                <w:color w:val="auto"/>
                <w:kern w:val="0"/>
                <w:sz w:val="21"/>
                <w:szCs w:val="21"/>
                <w:highlight w:val="none"/>
                <w:lang w:eastAsia="zh-CN" w:bidi="ar"/>
              </w:rPr>
              <w:t>成交供应商</w:t>
            </w:r>
            <w:r>
              <w:rPr>
                <w:rFonts w:hint="eastAsia" w:ascii="宋体" w:hAnsi="宋体" w:cs="宋体" w:eastAsiaTheme="minorEastAsia"/>
                <w:color w:val="auto"/>
                <w:kern w:val="0"/>
                <w:sz w:val="21"/>
                <w:szCs w:val="21"/>
                <w:highlight w:val="none"/>
                <w:lang w:bidi="ar"/>
              </w:rPr>
              <w:t>不能提供符合设计要求或合同约定的材料，采购人有权要求</w:t>
            </w:r>
            <w:r>
              <w:rPr>
                <w:rFonts w:hint="eastAsia" w:cs="宋体" w:eastAsiaTheme="minorEastAsia"/>
                <w:color w:val="auto"/>
                <w:kern w:val="0"/>
                <w:sz w:val="21"/>
                <w:szCs w:val="21"/>
                <w:highlight w:val="none"/>
                <w:lang w:eastAsia="zh-CN" w:bidi="ar"/>
              </w:rPr>
              <w:t>成交供应商</w:t>
            </w:r>
            <w:r>
              <w:rPr>
                <w:rFonts w:hint="eastAsia" w:ascii="宋体" w:hAnsi="宋体" w:cs="宋体" w:eastAsiaTheme="minorEastAsia"/>
                <w:color w:val="auto"/>
                <w:kern w:val="0"/>
                <w:sz w:val="21"/>
                <w:szCs w:val="21"/>
                <w:highlight w:val="none"/>
                <w:lang w:bidi="ar"/>
              </w:rPr>
              <w:t>停止采购，已经采购进场的勒令其退场，由此所造成的一切损失或发生的费用由</w:t>
            </w:r>
            <w:r>
              <w:rPr>
                <w:rFonts w:hint="eastAsia" w:cs="宋体" w:eastAsiaTheme="minorEastAsia"/>
                <w:color w:val="auto"/>
                <w:kern w:val="0"/>
                <w:sz w:val="21"/>
                <w:szCs w:val="21"/>
                <w:highlight w:val="none"/>
                <w:lang w:eastAsia="zh-CN" w:bidi="ar"/>
              </w:rPr>
              <w:t>成交供应商</w:t>
            </w:r>
            <w:r>
              <w:rPr>
                <w:rFonts w:hint="eastAsia" w:ascii="宋体" w:hAnsi="宋体" w:cs="宋体" w:eastAsiaTheme="minorEastAsia"/>
                <w:color w:val="auto"/>
                <w:kern w:val="0"/>
                <w:sz w:val="21"/>
                <w:szCs w:val="21"/>
                <w:highlight w:val="none"/>
                <w:lang w:bidi="ar"/>
              </w:rPr>
              <w:t>承担。</w:t>
            </w:r>
            <w:r>
              <w:rPr>
                <w:rFonts w:hint="eastAsia" w:ascii="宋体" w:hAnsi="宋体" w:cs="宋体" w:eastAsiaTheme="minorEastAsia"/>
                <w:color w:val="auto"/>
                <w:kern w:val="0"/>
                <w:sz w:val="21"/>
                <w:szCs w:val="21"/>
                <w:highlight w:val="none"/>
                <w:lang w:bidi="ar"/>
              </w:rPr>
              <w:br w:type="textWrapping"/>
            </w:r>
            <w:r>
              <w:rPr>
                <w:rFonts w:hint="eastAsia" w:cs="宋体" w:eastAsiaTheme="minorEastAsia"/>
                <w:color w:val="auto"/>
                <w:kern w:val="0"/>
                <w:sz w:val="21"/>
                <w:szCs w:val="21"/>
                <w:highlight w:val="none"/>
                <w:lang w:val="en-US" w:eastAsia="zh-CN" w:bidi="ar"/>
              </w:rPr>
              <w:t>⑤本项目防水卷材参考品牌详见附件，采购人提供的参考品牌、厂家或标准是采购人为了方便供应商更明确、更清楚说明拟采购货物的技术规格和标准，并无限制性。供应商可选用参考品牌，若选用替代品牌或标准的，应优于或相当于参考品牌或标准。供应商所选用防水卷材须经采购人同意后方可使用。</w:t>
            </w:r>
          </w:p>
        </w:tc>
      </w:tr>
      <w:tr w14:paraId="32BE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1A60547C">
            <w:pPr>
              <w:spacing w:line="360" w:lineRule="auto"/>
              <w:jc w:val="center"/>
              <w:rPr>
                <w:rFonts w:hint="eastAsia" w:cs="@仿宋_GB2312" w:asciiTheme="minorEastAsia" w:hAnsiTheme="minorEastAsia" w:eastAsiaTheme="minorEastAsia"/>
                <w:color w:val="auto"/>
                <w:kern w:val="2"/>
                <w:sz w:val="21"/>
                <w:szCs w:val="21"/>
                <w:highlight w:val="none"/>
                <w:lang w:eastAsia="zh-CN"/>
              </w:rPr>
            </w:pPr>
            <w:r>
              <w:rPr>
                <w:rFonts w:hint="eastAsia" w:cs="@仿宋_GB2312" w:asciiTheme="minorEastAsia" w:hAnsiTheme="minorEastAsia" w:eastAsiaTheme="minorEastAsia"/>
                <w:color w:val="auto"/>
                <w:kern w:val="2"/>
                <w:sz w:val="21"/>
                <w:szCs w:val="21"/>
                <w:highlight w:val="none"/>
                <w:lang w:val="en-US" w:eastAsia="zh-CN"/>
              </w:rPr>
              <w:t>4</w:t>
            </w:r>
          </w:p>
        </w:tc>
        <w:tc>
          <w:tcPr>
            <w:tcW w:w="1277" w:type="dxa"/>
            <w:vAlign w:val="center"/>
          </w:tcPr>
          <w:p w14:paraId="6CEAA5D4">
            <w:pPr>
              <w:spacing w:line="360" w:lineRule="auto"/>
              <w:rPr>
                <w:rFonts w:cs="@仿宋_GB2312" w:asciiTheme="minorEastAsia" w:hAnsiTheme="minorEastAsia" w:eastAsiaTheme="minorEastAsia"/>
                <w:color w:val="auto"/>
                <w:kern w:val="2"/>
                <w:sz w:val="21"/>
                <w:szCs w:val="21"/>
                <w:highlight w:val="none"/>
              </w:rPr>
            </w:pPr>
            <w:r>
              <w:rPr>
                <w:rFonts w:hint="eastAsia" w:cs="@仿宋_GB2312" w:asciiTheme="minorEastAsia" w:hAnsiTheme="minorEastAsia" w:eastAsiaTheme="minorEastAsia"/>
                <w:color w:val="auto"/>
                <w:kern w:val="2"/>
                <w:sz w:val="21"/>
                <w:szCs w:val="21"/>
                <w:highlight w:val="none"/>
              </w:rPr>
              <w:t>工程施工重点难点</w:t>
            </w:r>
          </w:p>
        </w:tc>
        <w:tc>
          <w:tcPr>
            <w:tcW w:w="6981" w:type="dxa"/>
            <w:vAlign w:val="center"/>
          </w:tcPr>
          <w:p w14:paraId="22A49876">
            <w:pPr>
              <w:spacing w:line="360" w:lineRule="auto"/>
              <w:rPr>
                <w:rFonts w:hint="eastAsia" w:cs="@仿宋_GB2312" w:asciiTheme="minorEastAsia" w:hAnsiTheme="minorEastAsia" w:eastAsiaTheme="minorEastAsia"/>
                <w:color w:val="auto"/>
                <w:kern w:val="2"/>
                <w:sz w:val="21"/>
                <w:szCs w:val="21"/>
                <w:highlight w:val="none"/>
                <w:lang w:eastAsia="zh-CN"/>
              </w:rPr>
            </w:pPr>
            <w:r>
              <w:rPr>
                <w:rFonts w:hint="eastAsia" w:cs="@仿宋_GB2312" w:asciiTheme="minorEastAsia" w:hAnsiTheme="minorEastAsia" w:eastAsiaTheme="minorEastAsia"/>
                <w:color w:val="auto"/>
                <w:kern w:val="2"/>
                <w:sz w:val="21"/>
                <w:szCs w:val="21"/>
                <w:highlight w:val="none"/>
                <w:lang w:val="en-US" w:eastAsia="zh-CN"/>
              </w:rPr>
              <w:t>/</w:t>
            </w:r>
          </w:p>
        </w:tc>
      </w:tr>
      <w:tr w14:paraId="3AC2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555889DA">
            <w:pPr>
              <w:spacing w:line="360" w:lineRule="auto"/>
              <w:jc w:val="center"/>
              <w:rPr>
                <w:rFonts w:hint="eastAsia" w:cs="@仿宋_GB2312" w:asciiTheme="minorEastAsia" w:hAnsiTheme="minorEastAsia" w:eastAsiaTheme="minorEastAsia"/>
                <w:color w:val="auto"/>
                <w:kern w:val="2"/>
                <w:sz w:val="21"/>
                <w:szCs w:val="21"/>
                <w:highlight w:val="none"/>
                <w:lang w:eastAsia="zh-CN"/>
              </w:rPr>
            </w:pPr>
            <w:r>
              <w:rPr>
                <w:rFonts w:hint="eastAsia" w:cs="@仿宋_GB2312" w:asciiTheme="minorEastAsia" w:hAnsiTheme="minorEastAsia" w:eastAsiaTheme="minorEastAsia"/>
                <w:color w:val="auto"/>
                <w:kern w:val="2"/>
                <w:sz w:val="21"/>
                <w:szCs w:val="21"/>
                <w:highlight w:val="none"/>
                <w:lang w:val="en-US" w:eastAsia="zh-CN"/>
              </w:rPr>
              <w:t>5</w:t>
            </w:r>
          </w:p>
        </w:tc>
        <w:tc>
          <w:tcPr>
            <w:tcW w:w="1277" w:type="dxa"/>
            <w:vAlign w:val="center"/>
          </w:tcPr>
          <w:p w14:paraId="79836297">
            <w:pPr>
              <w:spacing w:line="360" w:lineRule="auto"/>
              <w:rPr>
                <w:rFonts w:cs="@仿宋_GB2312" w:asciiTheme="minorEastAsia" w:hAnsiTheme="minorEastAsia" w:eastAsiaTheme="minorEastAsia"/>
                <w:color w:val="auto"/>
                <w:kern w:val="2"/>
                <w:sz w:val="21"/>
                <w:szCs w:val="21"/>
                <w:highlight w:val="none"/>
              </w:rPr>
            </w:pPr>
            <w:r>
              <w:rPr>
                <w:rFonts w:hint="eastAsia" w:cs="@仿宋_GB2312" w:asciiTheme="minorEastAsia" w:hAnsiTheme="minorEastAsia" w:eastAsiaTheme="minorEastAsia"/>
                <w:color w:val="auto"/>
                <w:kern w:val="2"/>
                <w:sz w:val="21"/>
                <w:szCs w:val="21"/>
                <w:highlight w:val="none"/>
              </w:rPr>
              <w:t>报价须知</w:t>
            </w:r>
          </w:p>
        </w:tc>
        <w:tc>
          <w:tcPr>
            <w:tcW w:w="6981" w:type="dxa"/>
            <w:vAlign w:val="center"/>
          </w:tcPr>
          <w:p w14:paraId="72207413">
            <w:pPr>
              <w:spacing w:line="360" w:lineRule="auto"/>
              <w:rPr>
                <w:rFonts w:hint="default" w:eastAsiaTheme="minorEastAsia"/>
                <w:color w:val="auto"/>
                <w:kern w:val="2"/>
                <w:sz w:val="21"/>
                <w:szCs w:val="21"/>
                <w:highlight w:val="none"/>
                <w:lang w:val="en-US" w:eastAsia="zh-CN"/>
              </w:rPr>
            </w:pPr>
            <w:r>
              <w:rPr>
                <w:rFonts w:hint="eastAsia" w:cs="@仿宋_GB2312" w:asciiTheme="minorEastAsia" w:hAnsiTheme="minorEastAsia" w:eastAsiaTheme="minorEastAsia"/>
                <w:color w:val="auto"/>
                <w:kern w:val="2"/>
                <w:sz w:val="21"/>
                <w:szCs w:val="21"/>
                <w:highlight w:val="none"/>
                <w:lang w:val="en-US" w:eastAsia="zh-CN"/>
              </w:rPr>
              <w:t>①</w:t>
            </w:r>
            <w:r>
              <w:rPr>
                <w:rFonts w:hint="eastAsia" w:cs="@仿宋_GB2312" w:asciiTheme="minorEastAsia" w:hAnsiTheme="minorEastAsia" w:eastAsiaTheme="minorEastAsia"/>
                <w:color w:val="auto"/>
                <w:kern w:val="2"/>
                <w:sz w:val="21"/>
                <w:szCs w:val="21"/>
                <w:highlight w:val="none"/>
              </w:rPr>
              <w:t>供应商最后报价均不得高于谈判文件（公告）列明的项目预算、最高投标限价，否则其响应文件将被认定为响应无效。</w:t>
            </w:r>
            <w:r>
              <w:rPr>
                <w:rFonts w:hint="eastAsia" w:cs="@仿宋_GB2312" w:asciiTheme="minorEastAsia" w:hAnsiTheme="minorEastAsia" w:eastAsiaTheme="minorEastAsia"/>
                <w:color w:val="auto"/>
                <w:kern w:val="2"/>
                <w:sz w:val="21"/>
                <w:szCs w:val="21"/>
                <w:highlight w:val="none"/>
              </w:rPr>
              <w:br w:type="textWrapping"/>
            </w:r>
            <w:r>
              <w:rPr>
                <w:rFonts w:hint="eastAsia" w:cs="@仿宋_GB2312" w:asciiTheme="minorEastAsia" w:hAnsiTheme="minorEastAsia" w:eastAsiaTheme="minorEastAsia"/>
                <w:color w:val="auto"/>
                <w:kern w:val="2"/>
                <w:sz w:val="21"/>
                <w:szCs w:val="21"/>
                <w:highlight w:val="none"/>
                <w:lang w:val="en-US" w:eastAsia="zh-CN"/>
              </w:rPr>
              <w:t>②</w:t>
            </w:r>
            <w:r>
              <w:rPr>
                <w:rFonts w:hint="eastAsia" w:cs="@仿宋_GB2312" w:asciiTheme="minorEastAsia" w:hAnsiTheme="minorEastAsia" w:eastAsiaTheme="minorEastAsia"/>
                <w:color w:val="auto"/>
                <w:kern w:val="2"/>
                <w:sz w:val="21"/>
                <w:szCs w:val="21"/>
                <w:highlight w:val="none"/>
              </w:rPr>
              <w:t>供应商应仔细阅读采购文件，了解拟投标合同段的全部工程内容。供应商的</w:t>
            </w:r>
            <w:r>
              <w:rPr>
                <w:rFonts w:hint="eastAsia" w:cs="@仿宋_GB2312" w:asciiTheme="minorEastAsia" w:hAnsiTheme="minorEastAsia" w:eastAsiaTheme="minorEastAsia"/>
                <w:color w:val="auto"/>
                <w:kern w:val="2"/>
                <w:sz w:val="21"/>
                <w:szCs w:val="21"/>
                <w:highlight w:val="none"/>
                <w:lang w:val="en-US" w:eastAsia="zh-CN"/>
              </w:rPr>
              <w:t>谈判</w:t>
            </w:r>
            <w:r>
              <w:rPr>
                <w:rFonts w:hint="eastAsia" w:cs="@仿宋_GB2312" w:asciiTheme="minorEastAsia" w:hAnsiTheme="minorEastAsia" w:eastAsiaTheme="minorEastAsia"/>
                <w:color w:val="auto"/>
                <w:kern w:val="2"/>
                <w:sz w:val="21"/>
                <w:szCs w:val="21"/>
                <w:highlight w:val="none"/>
              </w:rPr>
              <w:t>报价应是在满足竞争性</w:t>
            </w:r>
            <w:r>
              <w:rPr>
                <w:rFonts w:hint="eastAsia" w:cs="@仿宋_GB2312" w:asciiTheme="minorEastAsia" w:hAnsiTheme="minorEastAsia" w:eastAsiaTheme="minorEastAsia"/>
                <w:color w:val="auto"/>
                <w:kern w:val="2"/>
                <w:sz w:val="21"/>
                <w:szCs w:val="21"/>
                <w:highlight w:val="none"/>
                <w:lang w:val="en-US" w:eastAsia="zh-CN"/>
              </w:rPr>
              <w:t>谈判</w:t>
            </w:r>
            <w:r>
              <w:rPr>
                <w:rFonts w:hint="eastAsia" w:cs="@仿宋_GB2312" w:asciiTheme="minorEastAsia" w:hAnsiTheme="minorEastAsia" w:eastAsiaTheme="minorEastAsia"/>
                <w:color w:val="auto"/>
                <w:kern w:val="2"/>
                <w:sz w:val="21"/>
                <w:szCs w:val="21"/>
                <w:highlight w:val="none"/>
              </w:rPr>
              <w:t>文件约定工期、质量等要求下，完成工程范围内的全部工作内容的价格，其报价不得低于成本价</w:t>
            </w:r>
            <w:r>
              <w:rPr>
                <w:rFonts w:hint="eastAsia" w:cs="@仿宋_GB2312" w:asciiTheme="minorEastAsia" w:hAnsiTheme="minorEastAsia" w:eastAsiaTheme="minorEastAsia"/>
                <w:color w:val="auto"/>
                <w:kern w:val="2"/>
                <w:sz w:val="21"/>
                <w:szCs w:val="21"/>
                <w:highlight w:val="none"/>
                <w:lang w:eastAsia="zh-CN"/>
              </w:rPr>
              <w:t>。</w:t>
            </w:r>
            <w:r>
              <w:rPr>
                <w:rFonts w:hint="eastAsia" w:cs="@仿宋_GB2312" w:asciiTheme="minorEastAsia" w:hAnsiTheme="minorEastAsia" w:eastAsiaTheme="minorEastAsia"/>
                <w:color w:val="auto"/>
                <w:kern w:val="2"/>
                <w:sz w:val="21"/>
                <w:szCs w:val="21"/>
                <w:highlight w:val="none"/>
                <w:lang w:eastAsia="zh-CN"/>
              </w:rPr>
              <w:br w:type="textWrapping"/>
            </w:r>
            <w:r>
              <w:rPr>
                <w:rFonts w:hint="eastAsia" w:cs="@仿宋_GB2312" w:asciiTheme="minorEastAsia" w:hAnsiTheme="minorEastAsia" w:eastAsiaTheme="minorEastAsia"/>
                <w:color w:val="auto"/>
                <w:kern w:val="2"/>
                <w:sz w:val="21"/>
                <w:szCs w:val="21"/>
                <w:highlight w:val="none"/>
                <w:lang w:val="en-US" w:eastAsia="zh-CN"/>
              </w:rPr>
              <w:t>③本工程的综合单价包含完成一个规定清单项目所需的人工费（含工伤保险费等）、材料和工程设备费、施工机具使用费和企业管理费、利润以及施工合同范围内的风险费用。</w:t>
            </w:r>
          </w:p>
        </w:tc>
      </w:tr>
      <w:tr w14:paraId="6124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73743B40">
            <w:pPr>
              <w:spacing w:line="360" w:lineRule="auto"/>
              <w:jc w:val="center"/>
              <w:rPr>
                <w:rFonts w:hint="eastAsia" w:cs="@仿宋_GB2312" w:asciiTheme="minorEastAsia" w:hAnsiTheme="minorEastAsia" w:eastAsiaTheme="minorEastAsia"/>
                <w:color w:val="auto"/>
                <w:kern w:val="2"/>
                <w:sz w:val="21"/>
                <w:szCs w:val="21"/>
                <w:highlight w:val="none"/>
                <w:lang w:eastAsia="zh-CN"/>
              </w:rPr>
            </w:pPr>
            <w:r>
              <w:rPr>
                <w:rFonts w:hint="eastAsia" w:cs="@仿宋_GB2312" w:asciiTheme="minorEastAsia" w:hAnsiTheme="minorEastAsia" w:eastAsiaTheme="minorEastAsia"/>
                <w:color w:val="auto"/>
                <w:kern w:val="2"/>
                <w:sz w:val="21"/>
                <w:szCs w:val="21"/>
                <w:highlight w:val="none"/>
                <w:lang w:val="en-US" w:eastAsia="zh-CN"/>
              </w:rPr>
              <w:t>6</w:t>
            </w:r>
          </w:p>
        </w:tc>
        <w:tc>
          <w:tcPr>
            <w:tcW w:w="1277" w:type="dxa"/>
            <w:vAlign w:val="center"/>
          </w:tcPr>
          <w:p w14:paraId="0A405F58">
            <w:pPr>
              <w:spacing w:line="360" w:lineRule="auto"/>
              <w:rPr>
                <w:rFonts w:cs="@仿宋_GB2312" w:asciiTheme="minorEastAsia" w:hAnsiTheme="minorEastAsia" w:eastAsiaTheme="minorEastAsia"/>
                <w:color w:val="auto"/>
                <w:kern w:val="2"/>
                <w:sz w:val="21"/>
                <w:szCs w:val="21"/>
                <w:highlight w:val="none"/>
              </w:rPr>
            </w:pPr>
            <w:r>
              <w:rPr>
                <w:rFonts w:hint="eastAsia" w:cs="@仿宋_GB2312" w:asciiTheme="minorEastAsia" w:hAnsiTheme="minorEastAsia" w:eastAsiaTheme="minorEastAsia"/>
                <w:color w:val="auto"/>
                <w:kern w:val="2"/>
                <w:sz w:val="21"/>
                <w:szCs w:val="21"/>
                <w:highlight w:val="none"/>
              </w:rPr>
              <w:t>重要说明</w:t>
            </w:r>
          </w:p>
        </w:tc>
        <w:tc>
          <w:tcPr>
            <w:tcW w:w="6981" w:type="dxa"/>
            <w:vAlign w:val="center"/>
          </w:tcPr>
          <w:p w14:paraId="22083215">
            <w:pPr>
              <w:spacing w:line="360" w:lineRule="auto"/>
              <w:rPr>
                <w:rFonts w:hint="eastAsia" w:ascii="宋体" w:hAnsi="宋体" w:eastAsia="宋体"/>
                <w:color w:val="auto"/>
                <w:kern w:val="2"/>
                <w:sz w:val="21"/>
                <w:szCs w:val="21"/>
                <w:highlight w:val="none"/>
              </w:rPr>
            </w:pPr>
            <w:r>
              <w:rPr>
                <w:rFonts w:hint="eastAsia" w:cs="宋体"/>
                <w:color w:val="auto"/>
                <w:kern w:val="2"/>
                <w:sz w:val="21"/>
                <w:szCs w:val="21"/>
                <w:highlight w:val="none"/>
                <w:lang w:val="en-US" w:eastAsia="zh-CN"/>
              </w:rPr>
              <w:t>1、</w:t>
            </w:r>
            <w:r>
              <w:rPr>
                <w:rFonts w:ascii="宋体" w:hAnsi="宋体" w:eastAsia="宋体" w:cs="宋体"/>
                <w:color w:val="auto"/>
                <w:kern w:val="2"/>
                <w:sz w:val="21"/>
                <w:szCs w:val="21"/>
                <w:highlight w:val="none"/>
              </w:rPr>
              <w:t>政府采购政策（包括但不限于下列具体政策要求</w:t>
            </w:r>
            <w:r>
              <w:rPr>
                <w:rFonts w:hint="eastAsia" w:ascii="宋体" w:hAnsi="宋体" w:eastAsia="宋体" w:cs="宋体"/>
                <w:color w:val="auto"/>
                <w:kern w:val="2"/>
                <w:sz w:val="21"/>
                <w:szCs w:val="21"/>
                <w:highlight w:val="none"/>
                <w:lang w:eastAsia="zh-CN"/>
              </w:rPr>
              <w:t>）</w:t>
            </w:r>
            <w:r>
              <w:rPr>
                <w:rFonts w:hint="eastAsia" w:ascii="宋体" w:hAnsi="宋体" w:eastAsia="宋体"/>
                <w:color w:val="auto"/>
                <w:kern w:val="2"/>
                <w:sz w:val="21"/>
                <w:szCs w:val="21"/>
                <w:highlight w:val="none"/>
              </w:rPr>
              <w:t>：</w:t>
            </w:r>
          </w:p>
          <w:p w14:paraId="54A22AA9">
            <w:pPr>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（1）如属于《节能产品政府采购品目清单》中政府强制采购的节能产品，则</w:t>
            </w:r>
            <w:r>
              <w:rPr>
                <w:rFonts w:hint="eastAsia"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所投产品须具有市场监管总局公布的《参与实施政府采购节能产品认证机构目录》中的认证机构出具的、处于有效期内的节能产品认证证书。</w:t>
            </w:r>
          </w:p>
          <w:p w14:paraId="1A139FB3">
            <w:pPr>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（2）如涉及商品包装和快递包装，</w:t>
            </w:r>
            <w:r>
              <w:rPr>
                <w:rFonts w:hint="eastAsia"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48B74CD">
            <w:pPr>
              <w:spacing w:line="360" w:lineRule="auto"/>
              <w:rPr>
                <w:rFonts w:hint="eastAsia" w:ascii="宋体" w:hAnsi="宋体" w:cs="宋体" w:eastAsiaTheme="minorEastAsia"/>
                <w:color w:val="auto"/>
                <w:kern w:val="2"/>
                <w:sz w:val="21"/>
                <w:szCs w:val="21"/>
                <w:highlight w:val="none"/>
              </w:rPr>
            </w:pPr>
            <w:r>
              <w:rPr>
                <w:rFonts w:hint="eastAsia" w:ascii="宋体" w:hAnsi="宋体" w:cs="宋体" w:eastAsiaTheme="minorEastAsia"/>
                <w:color w:val="auto"/>
                <w:kern w:val="2"/>
                <w:sz w:val="21"/>
                <w:szCs w:val="21"/>
                <w:highlight w:val="none"/>
              </w:rPr>
              <w:t>2、本项目的</w:t>
            </w:r>
            <w:r>
              <w:rPr>
                <w:rFonts w:hint="eastAsia" w:cs="宋体" w:eastAsiaTheme="minorEastAsia"/>
                <w:color w:val="auto"/>
                <w:kern w:val="2"/>
                <w:sz w:val="21"/>
                <w:szCs w:val="21"/>
                <w:highlight w:val="none"/>
                <w:lang w:val="en-US" w:eastAsia="zh-CN"/>
              </w:rPr>
              <w:t>谈判</w:t>
            </w:r>
            <w:r>
              <w:rPr>
                <w:rFonts w:hint="eastAsia" w:ascii="宋体" w:hAnsi="宋体" w:cs="宋体" w:eastAsiaTheme="minorEastAsia"/>
                <w:color w:val="auto"/>
                <w:kern w:val="2"/>
                <w:sz w:val="21"/>
                <w:szCs w:val="21"/>
                <w:highlight w:val="none"/>
              </w:rPr>
              <w:t xml:space="preserve">文件、工程量清单、最高投标限价、澄清、修改、补充等相关资料均通过邮箱发布，供应商应当及时查看有无相关澄清、修改、补充等内容。 </w:t>
            </w:r>
          </w:p>
          <w:p w14:paraId="11FB5293">
            <w:pPr>
              <w:spacing w:line="360" w:lineRule="auto"/>
              <w:rPr>
                <w:rFonts w:cs="@仿宋_GB2312" w:asciiTheme="minorEastAsia" w:hAnsiTheme="minorEastAsia" w:eastAsiaTheme="minorEastAsia"/>
                <w:color w:val="auto"/>
                <w:kern w:val="2"/>
                <w:sz w:val="21"/>
                <w:szCs w:val="21"/>
                <w:highlight w:val="none"/>
              </w:rPr>
            </w:pPr>
            <w:r>
              <w:rPr>
                <w:rFonts w:hint="eastAsia" w:ascii="宋体" w:hAnsi="宋体" w:cs="宋体" w:eastAsiaTheme="minorEastAsia"/>
                <w:color w:val="auto"/>
                <w:kern w:val="2"/>
                <w:sz w:val="21"/>
                <w:szCs w:val="21"/>
                <w:highlight w:val="none"/>
              </w:rPr>
              <w:t>3、供应商在工程实施过程中用工行为，必须严格执行国家及地方政府的有关规定，依法签订劳动合同，并按规定及时足额支付工资。</w:t>
            </w:r>
          </w:p>
        </w:tc>
      </w:tr>
    </w:tbl>
    <w:p w14:paraId="34AF0FFE">
      <w:pPr>
        <w:spacing w:line="360" w:lineRule="auto"/>
        <w:rPr>
          <w:rFonts w:hint="eastAsia" w:asciiTheme="minorEastAsia" w:hAnsiTheme="minorEastAsia" w:eastAsiaTheme="minorEastAsia"/>
          <w:color w:val="auto"/>
          <w:sz w:val="24"/>
          <w:highlight w:val="none"/>
          <w:lang w:val="en-US" w:eastAsia="zh-CN"/>
        </w:rPr>
      </w:pPr>
    </w:p>
    <w:p w14:paraId="7F9B0633">
      <w:pPr>
        <w:spacing w:line="360" w:lineRule="auto"/>
        <w:rPr>
          <w:rFonts w:hint="eastAsia" w:asciiTheme="minorEastAsia" w:hAnsiTheme="minorEastAsia" w:eastAsiaTheme="minorEastAsia"/>
          <w:color w:val="auto"/>
          <w:sz w:val="24"/>
          <w:highlight w:val="none"/>
          <w:lang w:val="en-US" w:eastAsia="zh-CN"/>
        </w:rPr>
      </w:pPr>
    </w:p>
    <w:p w14:paraId="2D503973">
      <w:pPr>
        <w:spacing w:line="360" w:lineRule="auto"/>
        <w:rPr>
          <w:rFonts w:hint="eastAsia" w:asciiTheme="minorEastAsia" w:hAnsiTheme="minorEastAsia" w:eastAsiaTheme="minorEastAsia"/>
          <w:color w:val="auto"/>
          <w:sz w:val="24"/>
          <w:highlight w:val="none"/>
          <w:vertAlign w:val="baseline"/>
          <w:lang w:val="en-US" w:eastAsia="zh-CN"/>
        </w:rPr>
      </w:pPr>
      <w:r>
        <w:rPr>
          <w:rFonts w:hint="eastAsia" w:asciiTheme="minorEastAsia" w:hAnsiTheme="minorEastAsia" w:eastAsiaTheme="minorEastAsia"/>
          <w:color w:val="auto"/>
          <w:sz w:val="24"/>
          <w:highlight w:val="none"/>
          <w:lang w:val="en-US" w:eastAsia="zh-CN"/>
        </w:rPr>
        <w:t>附件：参考品牌</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1"/>
        <w:gridCol w:w="1421"/>
        <w:gridCol w:w="1421"/>
        <w:gridCol w:w="1421"/>
      </w:tblGrid>
      <w:tr w14:paraId="4201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5D0002BB">
            <w:pPr>
              <w:spacing w:line="360" w:lineRule="auto"/>
              <w:jc w:val="center"/>
              <w:rPr>
                <w:rFonts w:hint="default" w:asciiTheme="minorEastAsia" w:hAnsiTheme="minorEastAsia" w:eastAsiaTheme="minorEastAsia"/>
                <w:b/>
                <w:bCs/>
                <w:color w:val="auto"/>
                <w:sz w:val="24"/>
                <w:highlight w:val="none"/>
                <w:vertAlign w:val="baseline"/>
                <w:lang w:val="en-US" w:eastAsia="zh-CN"/>
              </w:rPr>
            </w:pPr>
            <w:r>
              <w:rPr>
                <w:rFonts w:hint="eastAsia" w:asciiTheme="minorEastAsia" w:hAnsiTheme="minorEastAsia" w:eastAsiaTheme="minorEastAsia"/>
                <w:b/>
                <w:bCs/>
                <w:color w:val="auto"/>
                <w:sz w:val="24"/>
                <w:highlight w:val="none"/>
                <w:vertAlign w:val="baseline"/>
                <w:lang w:val="en-US" w:eastAsia="zh-CN"/>
              </w:rPr>
              <w:t>序号</w:t>
            </w:r>
          </w:p>
        </w:tc>
        <w:tc>
          <w:tcPr>
            <w:tcW w:w="1547" w:type="dxa"/>
          </w:tcPr>
          <w:p w14:paraId="2BA8D6DC">
            <w:pPr>
              <w:spacing w:line="360" w:lineRule="auto"/>
              <w:jc w:val="center"/>
              <w:rPr>
                <w:rFonts w:hint="default" w:asciiTheme="minorEastAsia" w:hAnsiTheme="minorEastAsia" w:eastAsiaTheme="minorEastAsia"/>
                <w:b/>
                <w:bCs/>
                <w:color w:val="auto"/>
                <w:sz w:val="24"/>
                <w:highlight w:val="none"/>
                <w:vertAlign w:val="baseline"/>
                <w:lang w:val="en-US" w:eastAsia="zh-CN"/>
              </w:rPr>
            </w:pPr>
            <w:r>
              <w:rPr>
                <w:rFonts w:hint="eastAsia" w:asciiTheme="minorEastAsia" w:hAnsiTheme="minorEastAsia" w:eastAsiaTheme="minorEastAsia"/>
                <w:b/>
                <w:bCs/>
                <w:color w:val="auto"/>
                <w:sz w:val="24"/>
                <w:highlight w:val="none"/>
                <w:vertAlign w:val="baseline"/>
                <w:lang w:val="en-US" w:eastAsia="zh-CN"/>
              </w:rPr>
              <w:t>材料名称</w:t>
            </w:r>
          </w:p>
        </w:tc>
        <w:tc>
          <w:tcPr>
            <w:tcW w:w="1548" w:type="dxa"/>
          </w:tcPr>
          <w:p w14:paraId="77D9EAC9">
            <w:pPr>
              <w:spacing w:line="360" w:lineRule="auto"/>
              <w:jc w:val="center"/>
              <w:rPr>
                <w:rFonts w:hint="default" w:asciiTheme="minorEastAsia" w:hAnsiTheme="minorEastAsia" w:eastAsiaTheme="minorEastAsia"/>
                <w:b/>
                <w:bCs/>
                <w:color w:val="auto"/>
                <w:sz w:val="24"/>
                <w:highlight w:val="none"/>
                <w:vertAlign w:val="baseline"/>
                <w:lang w:val="en-US" w:eastAsia="zh-CN"/>
              </w:rPr>
            </w:pPr>
            <w:r>
              <w:rPr>
                <w:rFonts w:hint="eastAsia" w:asciiTheme="minorEastAsia" w:hAnsiTheme="minorEastAsia" w:eastAsiaTheme="minorEastAsia"/>
                <w:b/>
                <w:bCs/>
                <w:color w:val="auto"/>
                <w:sz w:val="24"/>
                <w:highlight w:val="none"/>
                <w:vertAlign w:val="baseline"/>
                <w:lang w:val="en-US" w:eastAsia="zh-CN"/>
              </w:rPr>
              <w:t>品牌1</w:t>
            </w:r>
          </w:p>
        </w:tc>
        <w:tc>
          <w:tcPr>
            <w:tcW w:w="1548" w:type="dxa"/>
          </w:tcPr>
          <w:p w14:paraId="015D5DE5">
            <w:pPr>
              <w:spacing w:line="360" w:lineRule="auto"/>
              <w:jc w:val="center"/>
              <w:rPr>
                <w:rFonts w:hint="default" w:asciiTheme="minorEastAsia" w:hAnsiTheme="minorEastAsia" w:eastAsiaTheme="minorEastAsia"/>
                <w:b/>
                <w:bCs/>
                <w:color w:val="auto"/>
                <w:sz w:val="24"/>
                <w:highlight w:val="none"/>
                <w:vertAlign w:val="baseline"/>
                <w:lang w:val="en-US" w:eastAsia="zh-CN"/>
              </w:rPr>
            </w:pPr>
            <w:r>
              <w:rPr>
                <w:rFonts w:hint="eastAsia" w:asciiTheme="minorEastAsia" w:hAnsiTheme="minorEastAsia" w:eastAsiaTheme="minorEastAsia"/>
                <w:b/>
                <w:bCs/>
                <w:color w:val="auto"/>
                <w:sz w:val="24"/>
                <w:highlight w:val="none"/>
                <w:vertAlign w:val="baseline"/>
                <w:lang w:val="en-US" w:eastAsia="zh-CN"/>
              </w:rPr>
              <w:t>品牌2</w:t>
            </w:r>
          </w:p>
        </w:tc>
        <w:tc>
          <w:tcPr>
            <w:tcW w:w="1548" w:type="dxa"/>
          </w:tcPr>
          <w:p w14:paraId="3DC901D0">
            <w:pPr>
              <w:spacing w:line="360" w:lineRule="auto"/>
              <w:jc w:val="center"/>
              <w:rPr>
                <w:rFonts w:hint="default" w:asciiTheme="minorEastAsia" w:hAnsiTheme="minorEastAsia" w:eastAsiaTheme="minorEastAsia"/>
                <w:b/>
                <w:bCs/>
                <w:color w:val="auto"/>
                <w:sz w:val="24"/>
                <w:highlight w:val="none"/>
                <w:vertAlign w:val="baseline"/>
                <w:lang w:val="en-US" w:eastAsia="zh-CN"/>
              </w:rPr>
            </w:pPr>
            <w:r>
              <w:rPr>
                <w:rFonts w:hint="eastAsia" w:asciiTheme="minorEastAsia" w:hAnsiTheme="minorEastAsia" w:eastAsiaTheme="minorEastAsia"/>
                <w:b/>
                <w:bCs/>
                <w:color w:val="auto"/>
                <w:sz w:val="24"/>
                <w:highlight w:val="none"/>
                <w:vertAlign w:val="baseline"/>
                <w:lang w:val="en-US" w:eastAsia="zh-CN"/>
              </w:rPr>
              <w:t>品牌3</w:t>
            </w:r>
          </w:p>
        </w:tc>
        <w:tc>
          <w:tcPr>
            <w:tcW w:w="1548" w:type="dxa"/>
          </w:tcPr>
          <w:p w14:paraId="15EC550A">
            <w:pPr>
              <w:spacing w:line="360" w:lineRule="auto"/>
              <w:jc w:val="center"/>
              <w:rPr>
                <w:rFonts w:hint="default" w:asciiTheme="minorEastAsia" w:hAnsiTheme="minorEastAsia" w:eastAsiaTheme="minorEastAsia"/>
                <w:b/>
                <w:bCs/>
                <w:color w:val="auto"/>
                <w:sz w:val="24"/>
                <w:highlight w:val="none"/>
                <w:vertAlign w:val="baseline"/>
                <w:lang w:val="en-US" w:eastAsia="zh-CN"/>
              </w:rPr>
            </w:pPr>
            <w:r>
              <w:rPr>
                <w:rFonts w:hint="eastAsia" w:asciiTheme="minorEastAsia" w:hAnsiTheme="minorEastAsia" w:eastAsiaTheme="minorEastAsia"/>
                <w:b/>
                <w:bCs/>
                <w:color w:val="auto"/>
                <w:sz w:val="24"/>
                <w:highlight w:val="none"/>
                <w:vertAlign w:val="baseline"/>
                <w:lang w:val="en-US" w:eastAsia="zh-CN"/>
              </w:rPr>
              <w:t>备注</w:t>
            </w:r>
          </w:p>
        </w:tc>
      </w:tr>
      <w:tr w14:paraId="4BDB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32F46564">
            <w:pPr>
              <w:spacing w:line="360" w:lineRule="auto"/>
              <w:jc w:val="center"/>
              <w:rPr>
                <w:rFonts w:hint="default" w:asciiTheme="minorEastAsia" w:hAnsiTheme="minorEastAsia" w:eastAsiaTheme="minorEastAsia"/>
                <w:color w:val="auto"/>
                <w:sz w:val="24"/>
                <w:highlight w:val="none"/>
                <w:vertAlign w:val="baseline"/>
                <w:lang w:val="en-US" w:eastAsia="zh-CN"/>
              </w:rPr>
            </w:pPr>
            <w:r>
              <w:rPr>
                <w:rFonts w:hint="eastAsia" w:asciiTheme="minorEastAsia" w:hAnsiTheme="minorEastAsia" w:eastAsiaTheme="minorEastAsia"/>
                <w:color w:val="auto"/>
                <w:sz w:val="24"/>
                <w:highlight w:val="none"/>
                <w:vertAlign w:val="baseline"/>
                <w:lang w:val="en-US" w:eastAsia="zh-CN"/>
              </w:rPr>
              <w:t>1</w:t>
            </w:r>
          </w:p>
        </w:tc>
        <w:tc>
          <w:tcPr>
            <w:tcW w:w="1547" w:type="dxa"/>
          </w:tcPr>
          <w:p w14:paraId="25385C2D">
            <w:pPr>
              <w:spacing w:line="360" w:lineRule="auto"/>
              <w:jc w:val="center"/>
              <w:rPr>
                <w:rFonts w:hint="default" w:asciiTheme="minorEastAsia" w:hAnsiTheme="minorEastAsia" w:eastAsiaTheme="minorEastAsia"/>
                <w:color w:val="auto"/>
                <w:sz w:val="24"/>
                <w:highlight w:val="none"/>
                <w:vertAlign w:val="baseline"/>
                <w:lang w:val="en-US" w:eastAsia="zh-CN"/>
              </w:rPr>
            </w:pPr>
            <w:r>
              <w:rPr>
                <w:rFonts w:hint="eastAsia" w:asciiTheme="minorEastAsia" w:hAnsiTheme="minorEastAsia" w:eastAsiaTheme="minorEastAsia"/>
                <w:color w:val="auto"/>
                <w:sz w:val="24"/>
                <w:highlight w:val="none"/>
                <w:vertAlign w:val="baseline"/>
                <w:lang w:val="en-US" w:eastAsia="zh-CN"/>
              </w:rPr>
              <w:t>防水卷材</w:t>
            </w:r>
          </w:p>
        </w:tc>
        <w:tc>
          <w:tcPr>
            <w:tcW w:w="1548" w:type="dxa"/>
            <w:vAlign w:val="top"/>
          </w:tcPr>
          <w:p w14:paraId="27F8E2FF">
            <w:pPr>
              <w:spacing w:line="360" w:lineRule="auto"/>
              <w:jc w:val="center"/>
              <w:rPr>
                <w:rFonts w:hint="eastAsia" w:asciiTheme="minorEastAsia" w:hAnsiTheme="minorEastAsia" w:eastAsiaTheme="minorEastAsia"/>
                <w:color w:val="auto"/>
                <w:sz w:val="24"/>
                <w:highlight w:val="none"/>
                <w:vertAlign w:val="baseline"/>
                <w:lang w:val="en-US" w:eastAsia="zh-CN"/>
              </w:rPr>
            </w:pPr>
            <w:r>
              <w:rPr>
                <w:rFonts w:hint="eastAsia" w:asciiTheme="minorEastAsia" w:hAnsiTheme="minorEastAsia" w:eastAsiaTheme="minorEastAsia"/>
                <w:color w:val="auto"/>
                <w:sz w:val="24"/>
                <w:highlight w:val="none"/>
                <w:vertAlign w:val="baseline"/>
                <w:lang w:val="en-US" w:eastAsia="zh-CN"/>
              </w:rPr>
              <w:t>东方雨虹</w:t>
            </w:r>
          </w:p>
        </w:tc>
        <w:tc>
          <w:tcPr>
            <w:tcW w:w="1548" w:type="dxa"/>
            <w:vAlign w:val="top"/>
          </w:tcPr>
          <w:p w14:paraId="727ED6DB">
            <w:pPr>
              <w:spacing w:line="360" w:lineRule="auto"/>
              <w:jc w:val="center"/>
              <w:rPr>
                <w:rFonts w:hint="eastAsia" w:asciiTheme="minorEastAsia" w:hAnsiTheme="minorEastAsia" w:eastAsiaTheme="minorEastAsia"/>
                <w:color w:val="auto"/>
                <w:sz w:val="24"/>
                <w:highlight w:val="none"/>
                <w:vertAlign w:val="baseline"/>
                <w:lang w:val="en-US" w:eastAsia="zh-CN"/>
              </w:rPr>
            </w:pPr>
            <w:r>
              <w:rPr>
                <w:rFonts w:hint="eastAsia" w:asciiTheme="minorEastAsia" w:hAnsiTheme="minorEastAsia" w:eastAsiaTheme="minorEastAsia"/>
                <w:color w:val="auto"/>
                <w:sz w:val="24"/>
                <w:highlight w:val="none"/>
                <w:vertAlign w:val="baseline"/>
                <w:lang w:val="en-US" w:eastAsia="zh-CN"/>
              </w:rPr>
              <w:t>禹王</w:t>
            </w:r>
          </w:p>
        </w:tc>
        <w:tc>
          <w:tcPr>
            <w:tcW w:w="1548" w:type="dxa"/>
            <w:vAlign w:val="top"/>
          </w:tcPr>
          <w:p w14:paraId="175BD0A3">
            <w:pPr>
              <w:spacing w:line="360" w:lineRule="auto"/>
              <w:jc w:val="center"/>
              <w:rPr>
                <w:rFonts w:hint="eastAsia" w:asciiTheme="minorEastAsia" w:hAnsiTheme="minorEastAsia" w:eastAsiaTheme="minorEastAsia"/>
                <w:color w:val="auto"/>
                <w:sz w:val="24"/>
                <w:highlight w:val="none"/>
                <w:vertAlign w:val="baseline"/>
                <w:lang w:val="en-US" w:eastAsia="zh-CN"/>
              </w:rPr>
            </w:pPr>
            <w:r>
              <w:rPr>
                <w:rFonts w:hint="eastAsia" w:asciiTheme="minorEastAsia" w:hAnsiTheme="minorEastAsia" w:eastAsiaTheme="minorEastAsia"/>
                <w:color w:val="auto"/>
                <w:sz w:val="24"/>
                <w:highlight w:val="none"/>
                <w:vertAlign w:val="baseline"/>
                <w:lang w:val="en-US" w:eastAsia="zh-CN"/>
              </w:rPr>
              <w:t>卓宝</w:t>
            </w:r>
          </w:p>
        </w:tc>
        <w:tc>
          <w:tcPr>
            <w:tcW w:w="1548" w:type="dxa"/>
            <w:vAlign w:val="top"/>
          </w:tcPr>
          <w:p w14:paraId="0F2242A4">
            <w:pPr>
              <w:spacing w:line="360" w:lineRule="auto"/>
              <w:jc w:val="center"/>
              <w:rPr>
                <w:rFonts w:hint="eastAsia" w:asciiTheme="minorEastAsia" w:hAnsiTheme="minorEastAsia" w:eastAsiaTheme="minorEastAsia"/>
                <w:color w:val="auto"/>
                <w:sz w:val="24"/>
                <w:highlight w:val="none"/>
                <w:vertAlign w:val="baseline"/>
                <w:lang w:val="en-US" w:eastAsia="zh-CN"/>
              </w:rPr>
            </w:pPr>
          </w:p>
        </w:tc>
      </w:tr>
    </w:tbl>
    <w:p w14:paraId="47F7A953">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br w:type="textWrapping"/>
      </w:r>
    </w:p>
    <w:p w14:paraId="34EF5E8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01983"/>
    <w:rsid w:val="61301983"/>
    <w:rsid w:val="61521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
    <w:name w:val="网格型2"/>
    <w:basedOn w:val="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2026-04-29T04:07:00Z</dcterms:created>
  <dc:creator>兔子爱上了窝边草</dc:creator>
  <cp:lastModifiedBy>兔子爱上了窝边草</cp:lastModifiedBy>
  <dcterms:modified xsi:type="dcterms:W3CDTF">2026-04-29T04:08:29Z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026D85AD85DF4BA8874CA4E06B38E8A1_11</vt:lpwstr>
  </property>
  <property fmtid="{D5CDD505-2E9C-101B-9397-08002B2CF9AE}" pid="4" name="KSOTemplateDocerSaveRecord">
    <vt:lpwstr>eyJoZGlkIjoiNmViOTI1YjMzNzU1MGU0NTliYzYxY2RiZWM1MzEwMGQiLCJ1c2VySWQiOiIzMTMwNjAzMjEifQ==</vt:lpwstr>
  </property>
</Properties>
</file>